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2684" w:rsidRPr="00230967" w:rsidRDefault="00412684" w:rsidP="00412684">
      <w:pPr>
        <w:spacing w:after="100" w:afterAutospacing="1" w:line="240" w:lineRule="auto"/>
        <w:contextualSpacing/>
        <w:jc w:val="right"/>
        <w:rPr>
          <w:rFonts w:ascii="Times New Roman" w:hAnsi="Times New Roman" w:cs="Times New Roman"/>
          <w:sz w:val="28"/>
          <w:szCs w:val="28"/>
        </w:rPr>
      </w:pPr>
      <w:r w:rsidRPr="002B3987">
        <w:rPr>
          <w:rFonts w:ascii="Times New Roman" w:hAnsi="Times New Roman" w:cs="Times New Roman"/>
          <w:b/>
          <w:sz w:val="28"/>
          <w:szCs w:val="28"/>
        </w:rPr>
        <w:t>Акимова Ирина Леонидовна</w:t>
      </w:r>
      <w:r w:rsidRPr="00230967">
        <w:rPr>
          <w:rFonts w:ascii="Times New Roman" w:hAnsi="Times New Roman" w:cs="Times New Roman"/>
          <w:sz w:val="28"/>
          <w:szCs w:val="28"/>
        </w:rPr>
        <w:t>,</w:t>
      </w:r>
    </w:p>
    <w:p w:rsidR="00412684" w:rsidRDefault="00412684" w:rsidP="00412684">
      <w:pPr>
        <w:spacing w:after="100" w:afterAutospacing="1" w:line="240" w:lineRule="auto"/>
        <w:contextualSpacing/>
        <w:jc w:val="right"/>
        <w:rPr>
          <w:rFonts w:ascii="Times New Roman" w:hAnsi="Times New Roman" w:cs="Times New Roman"/>
          <w:sz w:val="28"/>
          <w:szCs w:val="28"/>
        </w:rPr>
      </w:pPr>
      <w:r>
        <w:rPr>
          <w:rFonts w:ascii="Times New Roman" w:hAnsi="Times New Roman" w:cs="Times New Roman"/>
          <w:sz w:val="28"/>
          <w:szCs w:val="28"/>
        </w:rPr>
        <w:t>председатель Избират</w:t>
      </w:r>
      <w:r w:rsidR="002B3987">
        <w:rPr>
          <w:rFonts w:ascii="Times New Roman" w:hAnsi="Times New Roman" w:cs="Times New Roman"/>
          <w:sz w:val="28"/>
          <w:szCs w:val="28"/>
        </w:rPr>
        <w:t xml:space="preserve">ельной комиссии </w:t>
      </w:r>
      <w:r w:rsidR="002B3987">
        <w:rPr>
          <w:rFonts w:ascii="Times New Roman" w:hAnsi="Times New Roman" w:cs="Times New Roman"/>
          <w:sz w:val="28"/>
          <w:szCs w:val="28"/>
        </w:rPr>
        <w:br/>
        <w:t>Алтайского края</w:t>
      </w:r>
      <w:r>
        <w:rPr>
          <w:rFonts w:ascii="Times New Roman" w:hAnsi="Times New Roman" w:cs="Times New Roman"/>
          <w:sz w:val="28"/>
          <w:szCs w:val="28"/>
        </w:rPr>
        <w:t xml:space="preserve"> </w:t>
      </w:r>
    </w:p>
    <w:p w:rsidR="00412684" w:rsidRDefault="00412684" w:rsidP="00412684">
      <w:pPr>
        <w:spacing w:after="100" w:afterAutospacing="1" w:line="240" w:lineRule="auto"/>
        <w:contextualSpacing/>
        <w:jc w:val="right"/>
        <w:rPr>
          <w:rFonts w:ascii="Times New Roman" w:hAnsi="Times New Roman" w:cs="Times New Roman"/>
          <w:sz w:val="28"/>
          <w:szCs w:val="28"/>
        </w:rPr>
      </w:pPr>
    </w:p>
    <w:p w:rsidR="00412684" w:rsidRDefault="00412684" w:rsidP="00412684">
      <w:pPr>
        <w:spacing w:after="100" w:afterAutospacing="1" w:line="240" w:lineRule="auto"/>
        <w:contextualSpacing/>
        <w:jc w:val="right"/>
        <w:rPr>
          <w:rFonts w:ascii="Times New Roman" w:hAnsi="Times New Roman" w:cs="Times New Roman"/>
          <w:sz w:val="28"/>
          <w:szCs w:val="28"/>
        </w:rPr>
      </w:pPr>
    </w:p>
    <w:p w:rsidR="00412684" w:rsidRDefault="00412684" w:rsidP="00412684">
      <w:pPr>
        <w:spacing w:after="100" w:afterAutospacing="1"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Проблемы синхронизации и унификации </w:t>
      </w:r>
    </w:p>
    <w:p w:rsidR="008711F5" w:rsidRDefault="00412684" w:rsidP="00412684">
      <w:pPr>
        <w:spacing w:after="100" w:afterAutospacing="1"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правового регулирования отдельных избирательных процедур </w:t>
      </w:r>
      <w:r w:rsidR="005E263E">
        <w:rPr>
          <w:rFonts w:ascii="Times New Roman" w:hAnsi="Times New Roman" w:cs="Times New Roman"/>
          <w:b/>
          <w:sz w:val="28"/>
          <w:szCs w:val="28"/>
        </w:rPr>
        <w:t xml:space="preserve">при проведении совмещенных федеральных и региональных </w:t>
      </w:r>
    </w:p>
    <w:p w:rsidR="00412684" w:rsidRDefault="005E263E" w:rsidP="00412684">
      <w:pPr>
        <w:spacing w:after="100" w:afterAutospacing="1"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парламентских выборов</w:t>
      </w:r>
    </w:p>
    <w:p w:rsidR="005E263E" w:rsidRDefault="005E263E" w:rsidP="00412684">
      <w:pPr>
        <w:spacing w:after="100" w:afterAutospacing="1" w:line="240" w:lineRule="auto"/>
        <w:contextualSpacing/>
        <w:jc w:val="center"/>
        <w:rPr>
          <w:rFonts w:ascii="Times New Roman" w:hAnsi="Times New Roman" w:cs="Times New Roman"/>
          <w:b/>
          <w:sz w:val="28"/>
          <w:szCs w:val="28"/>
        </w:rPr>
      </w:pP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Избирательное законодательство является одним из наиболее ярких примеров правового регулирования по вопросам совместного ведения Российской Федерации и ее субъектов в силу статьи 72 Конституции РФ. Главной особенностью его развития в последние</w:t>
      </w:r>
      <w:bookmarkStart w:id="0" w:name="_GoBack"/>
      <w:bookmarkEnd w:id="0"/>
      <w:r>
        <w:rPr>
          <w:rFonts w:ascii="Times New Roman" w:hAnsi="Times New Roman" w:cs="Times New Roman"/>
          <w:sz w:val="28"/>
          <w:szCs w:val="28"/>
        </w:rPr>
        <w:t xml:space="preserve"> годы выступало самостоятельное регулирование в субъекте Российской Федерации отдельных избирательных процедур на основе «рамочных» позиций Федерального закона «Об основных гарантиях избирательных прав и права на участие в референдуме граждан Российской Федерации» (далее - ФЗ № 67). В связи с чем подходы, предлагаемые региональным законодателем, отличались определенным разнообразием как по формальным, так и по содержательным характеристикам. Причем это могло касаться концептуальных вопросов (например, параметров избирательной системы) либо конкретных процедур (в частности, организации досрочного голосования на региональных и муниципальных выборах).</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Децентрализация и дифференциация правового регулирования стали отличительными показателями современного этапа развития регионального избирательного законодательства.</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Однако сегодня ряд субъектов Российской Федерации должны обратить особое внимание на соотнесение отдельных положений </w:t>
      </w:r>
      <w:r>
        <w:rPr>
          <w:rFonts w:ascii="Times New Roman" w:hAnsi="Times New Roman" w:cs="Times New Roman"/>
          <w:sz w:val="28"/>
          <w:szCs w:val="28"/>
        </w:rPr>
        <w:lastRenderedPageBreak/>
        <w:t>избирательного законодательства своего субъекта РФ с требованиями Федерального закона от 22 февраля 2014 года № 20-ФЗ «О выборах депутатов Государственной Думы Федерального Собрания Российской Федерации» в силу совмещения в 2016 году дня голосования с федеральными выборами.</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 первую очередь</w:t>
      </w:r>
      <w:r w:rsidR="003B15AC">
        <w:rPr>
          <w:rFonts w:ascii="Times New Roman" w:hAnsi="Times New Roman" w:cs="Times New Roman"/>
          <w:sz w:val="28"/>
          <w:szCs w:val="28"/>
        </w:rPr>
        <w:t>,</w:t>
      </w:r>
      <w:r>
        <w:rPr>
          <w:rFonts w:ascii="Times New Roman" w:hAnsi="Times New Roman" w:cs="Times New Roman"/>
          <w:sz w:val="28"/>
          <w:szCs w:val="28"/>
        </w:rPr>
        <w:t xml:space="preserve"> это связано с некоторым изменением подхода в части наделения граждан Российской Федерации активным избирательным правом на выборах депутатов Государственной Думы Федерального Собрания России. Согласно части 2 статьи 4 ФЗ №20 право избирать депутата Государственной Думы по одномандатному избирательному округу имеет также гражданин Российской Федерации, достигший на день голосования 18 лет, зарегистрированный по месту пребывания на территории этого одномандатного избирательного округа не менее чем за три месяца до дня голосования и включенный в список избирателей в соответствии с частью 11 статьи 17 указанного Федерального закона. Данное положение следует рассматривать как значительный шаг по закреплению избирательных прав граждан России вне зависимости от такого формального порой критерия как место жительства в пределах избирательного округа. Тем более, что все больше увеличивается число граждан, у которых адрес юридической регистрации по месту жительства в течение большей части жизни не совпадает с местом их постоянного или преимущественного проживания. Все больше вводится заявительный механизм в сфере гарантированности непосредственной реализации избирательных прав. Согласно части 11 статьи 17 ФЗ №20 избиратель, зарегистрированный по месту пребывания на территории соответствующего избирательного участка не менее чем за три месяца до дня голосования, может быть включен в список избирателей на этом избирательном участке на основании личного письменного заявлен</w:t>
      </w:r>
      <w:r w:rsidR="002B3987">
        <w:rPr>
          <w:rFonts w:ascii="Times New Roman" w:hAnsi="Times New Roman" w:cs="Times New Roman"/>
          <w:sz w:val="28"/>
          <w:szCs w:val="28"/>
        </w:rPr>
        <w:t>ия, поданного в соответствующую</w:t>
      </w:r>
      <w:r>
        <w:rPr>
          <w:rFonts w:ascii="Times New Roman" w:hAnsi="Times New Roman" w:cs="Times New Roman"/>
          <w:sz w:val="28"/>
          <w:szCs w:val="28"/>
        </w:rPr>
        <w:t xml:space="preserve"> территориальную избирательную комиссию за 60-21 день до дня голосования.</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При этом сразу возникает ряд вопросов. Может ли данный подход использоваться при совершенствовании регионального избирательного законодательства? Пока часть 4 статьи 4 ФЗ № 67 закрепляет следующую формулу: «</w:t>
      </w:r>
      <w:r w:rsidRPr="00511449">
        <w:rPr>
          <w:rFonts w:ascii="Times New Roman" w:hAnsi="Times New Roman" w:cs="Times New Roman"/>
          <w:b/>
          <w:sz w:val="28"/>
          <w:szCs w:val="28"/>
        </w:rPr>
        <w:t>Законом</w:t>
      </w:r>
      <w:r>
        <w:rPr>
          <w:rFonts w:ascii="Times New Roman" w:hAnsi="Times New Roman" w:cs="Times New Roman"/>
          <w:sz w:val="28"/>
          <w:szCs w:val="28"/>
        </w:rPr>
        <w:t xml:space="preserve"> активное избирательное право </w:t>
      </w:r>
      <w:r w:rsidRPr="00511449">
        <w:rPr>
          <w:rFonts w:ascii="Times New Roman" w:hAnsi="Times New Roman" w:cs="Times New Roman"/>
          <w:b/>
          <w:sz w:val="28"/>
          <w:szCs w:val="28"/>
        </w:rPr>
        <w:t>может быть</w:t>
      </w:r>
      <w:r>
        <w:rPr>
          <w:rFonts w:ascii="Times New Roman" w:hAnsi="Times New Roman" w:cs="Times New Roman"/>
          <w:sz w:val="28"/>
          <w:szCs w:val="28"/>
        </w:rPr>
        <w:t xml:space="preserve"> предоставлено гражданину, </w:t>
      </w:r>
      <w:r w:rsidRPr="00511449">
        <w:rPr>
          <w:rFonts w:ascii="Times New Roman" w:hAnsi="Times New Roman" w:cs="Times New Roman"/>
          <w:b/>
          <w:sz w:val="28"/>
          <w:szCs w:val="28"/>
        </w:rPr>
        <w:t>место жительство</w:t>
      </w:r>
      <w:r>
        <w:rPr>
          <w:rFonts w:ascii="Times New Roman" w:hAnsi="Times New Roman" w:cs="Times New Roman"/>
          <w:sz w:val="28"/>
          <w:szCs w:val="28"/>
        </w:rPr>
        <w:t xml:space="preserve"> которого расположено за пределами избирательного округа».</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Другой вопрос: следует ли рассматривать предложенный выше федеральным законодателем подход с позиции правовой аналогии как возможность предоставления активного избирательного права таким гражданам и на региональных выборах? </w:t>
      </w:r>
    </w:p>
    <w:p w:rsidR="00412684" w:rsidRPr="00733928"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Другая группа расхождений связана с правовой регламентацией статуса участников избирательного процесса. В единый день голосования в сентябре 2016 года это коснется такого субъекта избирательных правоотношений как наблюдатели. Ранее действовавший порядок предусматривал возможность удаления наблюдателя и иных лиц из помещения для голосования, если они нарушают закон о выборах (часть 12 статьи 64 ФЗ № 67).</w:t>
      </w:r>
      <w:r w:rsidRPr="00733928">
        <w:rPr>
          <w:rFonts w:ascii="Times New Roman" w:hAnsi="Times New Roman" w:cs="Times New Roman"/>
          <w:sz w:val="28"/>
          <w:szCs w:val="28"/>
        </w:rPr>
        <w:t xml:space="preserve"> </w:t>
      </w:r>
      <w:r>
        <w:rPr>
          <w:rFonts w:ascii="Times New Roman" w:hAnsi="Times New Roman" w:cs="Times New Roman"/>
          <w:sz w:val="28"/>
          <w:szCs w:val="28"/>
        </w:rPr>
        <w:t xml:space="preserve">Соответствующее мотивированное решение принималось участковой или вышестоящей комиссией. В части 15 статьи 81 ФЗ № 20 закреплена новелла: </w:t>
      </w:r>
      <w:r w:rsidRPr="00733928">
        <w:rPr>
          <w:rFonts w:ascii="Times New Roman" w:hAnsi="Times New Roman" w:cs="Times New Roman"/>
          <w:sz w:val="28"/>
          <w:szCs w:val="28"/>
        </w:rPr>
        <w:t xml:space="preserve">наблюдатель и иные лица удаляются из помещения для голосования, если они нарушают законодательство Российской Федерации о выборах и факт такого нарушения установлен </w:t>
      </w:r>
      <w:r w:rsidRPr="00DF1393">
        <w:rPr>
          <w:rFonts w:ascii="Times New Roman" w:hAnsi="Times New Roman" w:cs="Times New Roman"/>
          <w:b/>
          <w:sz w:val="28"/>
          <w:szCs w:val="28"/>
        </w:rPr>
        <w:t>в судебном порядке</w:t>
      </w:r>
      <w:r w:rsidRPr="00733928">
        <w:rPr>
          <w:rFonts w:ascii="Times New Roman" w:hAnsi="Times New Roman" w:cs="Times New Roman"/>
          <w:sz w:val="28"/>
          <w:szCs w:val="28"/>
        </w:rPr>
        <w:t>. Исполнение соответствующего судебного решения обеспечивают правоохранительные органы.</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Наконец, отмечаются различия и в механизмах обеспечения избирательных прав граждан. Так, действующая редакция ФЗ № 20 закрепляет использование открепительных удостоверений как основную гарантию на выборах депутатов Государственной Думы, предусматривая институт досрочного голосования избирателей на одном или нескольких </w:t>
      </w:r>
      <w:r>
        <w:rPr>
          <w:rFonts w:ascii="Times New Roman" w:hAnsi="Times New Roman" w:cs="Times New Roman"/>
          <w:sz w:val="28"/>
          <w:szCs w:val="28"/>
        </w:rPr>
        <w:lastRenderedPageBreak/>
        <w:t xml:space="preserve">избирательных участках, образованных в труднодоступных или отдаленных местностях, на судах, которые будут находиться в день голосования в плавании, на полярных станциях (статья 82). </w:t>
      </w:r>
      <w:r w:rsidRPr="005F3077">
        <w:rPr>
          <w:rFonts w:ascii="Times New Roman" w:hAnsi="Times New Roman" w:cs="Times New Roman"/>
          <w:sz w:val="28"/>
          <w:szCs w:val="28"/>
        </w:rPr>
        <w:t xml:space="preserve">Согласно части 5 статьи 80 ФЗ № 20 избиратель, который не будет иметь возможность прибыть в день голосования в помещение для голосования того избирательного участка, где он включен в список избирателей, вправе получить в соответствующей территориальной избирательной комиссии (за 45 - 10 дней до дня голосования) либо в участковой избирательной комиссии (за 9 и менее дней до дня голосования) открепительное удостоверение и принять участие в </w:t>
      </w:r>
      <w:r w:rsidRPr="003B15AC">
        <w:rPr>
          <w:rFonts w:ascii="Times New Roman" w:hAnsi="Times New Roman" w:cs="Times New Roman"/>
          <w:sz w:val="28"/>
          <w:szCs w:val="28"/>
        </w:rPr>
        <w:t>голосовании по тому избирательному округу, в котором этот избиратель обладает активным избирательным правом в соответствии с частями 1 и 2 статьи 4 у</w:t>
      </w:r>
      <w:r>
        <w:rPr>
          <w:rFonts w:ascii="Times New Roman" w:hAnsi="Times New Roman" w:cs="Times New Roman"/>
          <w:sz w:val="28"/>
          <w:szCs w:val="28"/>
        </w:rPr>
        <w:t>казанного</w:t>
      </w:r>
      <w:r w:rsidRPr="005F3077">
        <w:rPr>
          <w:rFonts w:ascii="Times New Roman" w:hAnsi="Times New Roman" w:cs="Times New Roman"/>
          <w:sz w:val="28"/>
          <w:szCs w:val="28"/>
        </w:rPr>
        <w:t xml:space="preserve"> Федерального закона, и на том избирательном участке, где он будет находиться в день голосования.</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Вместе с тем, начиная с 2014 года, законодательство большинства субъектов Российской Федерации предусматривает проведение досрочного голосования на региональных и муниципальных выборах. Так, согласно статье 96 Кодекса Алтайского края о выборах, референдуме, отзыве </w:t>
      </w:r>
      <w:r w:rsidR="00FE2543">
        <w:rPr>
          <w:rFonts w:ascii="Times New Roman" w:hAnsi="Times New Roman" w:cs="Times New Roman"/>
          <w:sz w:val="28"/>
          <w:szCs w:val="28"/>
        </w:rPr>
        <w:t xml:space="preserve">(далее Кодекс Алтайского края о выборах) </w:t>
      </w:r>
      <w:r>
        <w:rPr>
          <w:rFonts w:ascii="Times New Roman" w:hAnsi="Times New Roman" w:cs="Times New Roman"/>
          <w:sz w:val="28"/>
          <w:szCs w:val="28"/>
        </w:rPr>
        <w:t>досрочное голосование проводится путем заполнения избирателем бюллетеня в помещении соответствующей участковой избирательной комиссии не ранее чем за 10 дней до дня голосования.</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Таким образом, </w:t>
      </w:r>
      <w:r w:rsidRPr="00412684">
        <w:rPr>
          <w:rFonts w:ascii="Times New Roman" w:hAnsi="Times New Roman" w:cs="Times New Roman"/>
          <w:sz w:val="28"/>
          <w:szCs w:val="28"/>
        </w:rPr>
        <w:t xml:space="preserve">перед региональным законодателем сегодня стоит задача – необходимо </w:t>
      </w:r>
      <w:r>
        <w:rPr>
          <w:rFonts w:ascii="Times New Roman" w:hAnsi="Times New Roman" w:cs="Times New Roman"/>
          <w:sz w:val="28"/>
          <w:szCs w:val="28"/>
        </w:rPr>
        <w:t>предусмотреть:</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возможность голосования по открепительному удостоверению;</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использование строк протокола участковой избирательной комиссии об итогах голосования, на основании которых осуществляется учет открепительных удостоверений. Тем более, что отсутствие в законе субъекта Российской Федерации о выборах соответствующих положений, </w:t>
      </w:r>
      <w:r>
        <w:rPr>
          <w:rFonts w:ascii="Times New Roman" w:hAnsi="Times New Roman" w:cs="Times New Roman"/>
          <w:sz w:val="28"/>
          <w:szCs w:val="28"/>
        </w:rPr>
        <w:lastRenderedPageBreak/>
        <w:t>регулирующих порядок голосования по открепительному удостоверению, не может быть восполнено п</w:t>
      </w:r>
      <w:r w:rsidR="002B3987">
        <w:rPr>
          <w:rFonts w:ascii="Times New Roman" w:hAnsi="Times New Roman" w:cs="Times New Roman"/>
          <w:sz w:val="28"/>
          <w:szCs w:val="28"/>
        </w:rPr>
        <w:t xml:space="preserve">рименением Федерального закона </w:t>
      </w:r>
      <w:r>
        <w:rPr>
          <w:rFonts w:ascii="Times New Roman" w:hAnsi="Times New Roman" w:cs="Times New Roman"/>
          <w:sz w:val="28"/>
          <w:szCs w:val="28"/>
        </w:rPr>
        <w:t>напрямую.</w:t>
      </w:r>
    </w:p>
    <w:p w:rsidR="00412684" w:rsidRDefault="00412684"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Предлагаемая сегодня версия законопроекта о внесении изменений в Кодекс Алтайского края о выборах исходит из концепции сохранения института досрочного голосования в нашем крае при наличии </w:t>
      </w:r>
      <w:r w:rsidR="00FE2543">
        <w:rPr>
          <w:rFonts w:ascii="Times New Roman" w:hAnsi="Times New Roman" w:cs="Times New Roman"/>
          <w:sz w:val="28"/>
          <w:szCs w:val="28"/>
        </w:rPr>
        <w:t xml:space="preserve">четкого указания на применение </w:t>
      </w:r>
      <w:r>
        <w:rPr>
          <w:rFonts w:ascii="Times New Roman" w:hAnsi="Times New Roman" w:cs="Times New Roman"/>
          <w:sz w:val="28"/>
          <w:szCs w:val="28"/>
        </w:rPr>
        <w:t>взаимоисключающих форм обеспечения избирательных прав граждан, находящихся в день голосования вне места своего жительства, в разные дни голосования.</w:t>
      </w:r>
    </w:p>
    <w:p w:rsidR="00FE2543" w:rsidRPr="00412684" w:rsidRDefault="00FE2543" w:rsidP="002B3987">
      <w:pPr>
        <w:spacing w:after="100" w:afterAutospacing="1"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Наконец, интерес для законотворческой деятельности представляет необходимость закрепления в законе субъекта Российской Федерации прямо не урегулированных федеральным законодательством конструкций. Это касается, в частности, порядка согласования краткого наименования политической партии или иного общественного объединения для использования в избирательном бюллетене, протоколах об итогах голосования или результатах выборов в случае, когда как полное, так и сокращенное наименование политической партии или общественного объединения состоит более чем из семи слов (пункт 10 статьи 35 ФЗ № 67).</w:t>
      </w:r>
      <w:r w:rsidR="00E15332">
        <w:rPr>
          <w:rFonts w:ascii="Times New Roman" w:hAnsi="Times New Roman" w:cs="Times New Roman"/>
          <w:sz w:val="28"/>
          <w:szCs w:val="28"/>
        </w:rPr>
        <w:t xml:space="preserve"> В проекте закона о внесении изменений в Кодекс Алтайского края о выборах такая схема предложена.</w:t>
      </w:r>
    </w:p>
    <w:p w:rsidR="006F774B" w:rsidRDefault="00412684" w:rsidP="002B3987">
      <w:pPr>
        <w:spacing w:after="100" w:afterAutospacing="1" w:line="240" w:lineRule="auto"/>
        <w:ind w:firstLine="708"/>
        <w:contextualSpacing/>
        <w:jc w:val="both"/>
      </w:pPr>
      <w:r>
        <w:rPr>
          <w:rFonts w:ascii="Times New Roman" w:hAnsi="Times New Roman" w:cs="Times New Roman"/>
          <w:sz w:val="28"/>
          <w:szCs w:val="28"/>
        </w:rPr>
        <w:t xml:space="preserve">Анализ основных претензий и ожиданий электорального корпуса в условиях постоянно изменяющихся законодательных положений по итогам единых дней голосования последних лет свидетельствует о том, что правила участия избирателей в выборах должны быть едиными, унифицированными, понятными и доступными, не требующими каких-либо организационных и материальных затрат. </w:t>
      </w:r>
      <w:r w:rsidR="00F001E5">
        <w:rPr>
          <w:rFonts w:ascii="Times New Roman" w:hAnsi="Times New Roman" w:cs="Times New Roman"/>
          <w:sz w:val="28"/>
          <w:szCs w:val="28"/>
        </w:rPr>
        <w:t xml:space="preserve">Именно эта парадигма должна лечь в основу </w:t>
      </w:r>
      <w:r>
        <w:rPr>
          <w:rFonts w:ascii="Times New Roman" w:hAnsi="Times New Roman" w:cs="Times New Roman"/>
          <w:sz w:val="28"/>
          <w:szCs w:val="28"/>
        </w:rPr>
        <w:t>обеспечения баланса между единством правового пространства и дифференцированными подходами к правовому регулированию в федеративном государстве</w:t>
      </w:r>
      <w:r w:rsidR="00F001E5">
        <w:rPr>
          <w:rFonts w:ascii="Times New Roman" w:hAnsi="Times New Roman" w:cs="Times New Roman"/>
          <w:sz w:val="28"/>
          <w:szCs w:val="28"/>
        </w:rPr>
        <w:t>. Н</w:t>
      </w:r>
      <w:r>
        <w:rPr>
          <w:rFonts w:ascii="Times New Roman" w:hAnsi="Times New Roman" w:cs="Times New Roman"/>
          <w:sz w:val="28"/>
          <w:szCs w:val="28"/>
        </w:rPr>
        <w:t>а наш взгляд,</w:t>
      </w:r>
      <w:r w:rsidR="00F001E5">
        <w:rPr>
          <w:rFonts w:ascii="Times New Roman" w:hAnsi="Times New Roman" w:cs="Times New Roman"/>
          <w:sz w:val="28"/>
          <w:szCs w:val="28"/>
        </w:rPr>
        <w:t xml:space="preserve"> региональному законодателю </w:t>
      </w:r>
      <w:r>
        <w:rPr>
          <w:rFonts w:ascii="Times New Roman" w:hAnsi="Times New Roman" w:cs="Times New Roman"/>
          <w:sz w:val="28"/>
          <w:szCs w:val="28"/>
        </w:rPr>
        <w:t xml:space="preserve"> </w:t>
      </w:r>
      <w:r w:rsidR="00F001E5">
        <w:rPr>
          <w:rFonts w:ascii="Times New Roman" w:hAnsi="Times New Roman" w:cs="Times New Roman"/>
          <w:sz w:val="28"/>
          <w:szCs w:val="28"/>
        </w:rPr>
        <w:t xml:space="preserve">сегодня </w:t>
      </w:r>
      <w:r>
        <w:rPr>
          <w:rFonts w:ascii="Times New Roman" w:hAnsi="Times New Roman" w:cs="Times New Roman"/>
          <w:sz w:val="28"/>
          <w:szCs w:val="28"/>
        </w:rPr>
        <w:t xml:space="preserve">следует </w:t>
      </w:r>
      <w:r w:rsidR="00F001E5">
        <w:rPr>
          <w:rFonts w:ascii="Times New Roman" w:hAnsi="Times New Roman" w:cs="Times New Roman"/>
          <w:sz w:val="28"/>
          <w:szCs w:val="28"/>
        </w:rPr>
        <w:t>исходить из обеспечения унификации</w:t>
      </w:r>
      <w:r>
        <w:rPr>
          <w:rFonts w:ascii="Times New Roman" w:hAnsi="Times New Roman" w:cs="Times New Roman"/>
          <w:sz w:val="28"/>
          <w:szCs w:val="28"/>
        </w:rPr>
        <w:t xml:space="preserve"> принципиально важных для конституционного ст</w:t>
      </w:r>
      <w:r w:rsidR="00F001E5">
        <w:rPr>
          <w:rFonts w:ascii="Times New Roman" w:hAnsi="Times New Roman" w:cs="Times New Roman"/>
          <w:sz w:val="28"/>
          <w:szCs w:val="28"/>
        </w:rPr>
        <w:t>роя избирательных стандартов.</w:t>
      </w:r>
    </w:p>
    <w:sectPr w:rsidR="006F774B" w:rsidSect="009066F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53" w:rsidRDefault="00531953" w:rsidP="00412684">
      <w:r>
        <w:separator/>
      </w:r>
    </w:p>
  </w:endnote>
  <w:endnote w:type="continuationSeparator" w:id="0">
    <w:p w:rsidR="00531953" w:rsidRDefault="00531953" w:rsidP="0041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53" w:rsidRDefault="00531953" w:rsidP="00412684">
      <w:r>
        <w:separator/>
      </w:r>
    </w:p>
  </w:footnote>
  <w:footnote w:type="continuationSeparator" w:id="0">
    <w:p w:rsidR="00531953" w:rsidRDefault="00531953" w:rsidP="00412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12684"/>
    <w:rsid w:val="002B3987"/>
    <w:rsid w:val="003B15AC"/>
    <w:rsid w:val="00412684"/>
    <w:rsid w:val="00531953"/>
    <w:rsid w:val="005E263E"/>
    <w:rsid w:val="006F774B"/>
    <w:rsid w:val="008711F5"/>
    <w:rsid w:val="00976530"/>
    <w:rsid w:val="00B760FB"/>
    <w:rsid w:val="00E15332"/>
    <w:rsid w:val="00F001E5"/>
    <w:rsid w:val="00FE25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1858E-C488-44F9-9D2E-C4386AEF4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26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12684"/>
    <w:pPr>
      <w:spacing w:after="0" w:line="240" w:lineRule="auto"/>
    </w:pPr>
    <w:rPr>
      <w:sz w:val="20"/>
      <w:szCs w:val="20"/>
    </w:rPr>
  </w:style>
  <w:style w:type="character" w:customStyle="1" w:styleId="a4">
    <w:name w:val="Текст сноски Знак"/>
    <w:basedOn w:val="a0"/>
    <w:link w:val="a3"/>
    <w:uiPriority w:val="99"/>
    <w:semiHidden/>
    <w:rsid w:val="00412684"/>
    <w:rPr>
      <w:sz w:val="20"/>
      <w:szCs w:val="20"/>
    </w:rPr>
  </w:style>
  <w:style w:type="character" w:styleId="a5">
    <w:name w:val="footnote reference"/>
    <w:basedOn w:val="a0"/>
    <w:uiPriority w:val="99"/>
    <w:semiHidden/>
    <w:unhideWhenUsed/>
    <w:rsid w:val="004126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1301</Words>
  <Characters>7422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dc:creator>
  <cp:lastModifiedBy>Андрей Юрьевич Данилов</cp:lastModifiedBy>
  <cp:revision>4</cp:revision>
  <dcterms:created xsi:type="dcterms:W3CDTF">2016-04-22T06:07:00Z</dcterms:created>
  <dcterms:modified xsi:type="dcterms:W3CDTF">2016-05-16T05:14:00Z</dcterms:modified>
</cp:coreProperties>
</file>