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88" w:rsidRPr="00611366" w:rsidRDefault="00202788">
      <w:pPr>
        <w:jc w:val="both"/>
        <w:rPr>
          <w:color w:val="000000" w:themeColor="text1"/>
          <w:sz w:val="27"/>
        </w:rPr>
      </w:pPr>
    </w:p>
    <w:p w:rsidR="00202788" w:rsidRPr="00611366" w:rsidRDefault="00202788">
      <w:pPr>
        <w:jc w:val="both"/>
        <w:rPr>
          <w:color w:val="000000" w:themeColor="text1"/>
          <w:sz w:val="27"/>
        </w:rPr>
      </w:pPr>
    </w:p>
    <w:p w:rsidR="00202788" w:rsidRPr="00611366" w:rsidRDefault="00202788">
      <w:pPr>
        <w:jc w:val="both"/>
        <w:rPr>
          <w:color w:val="000000" w:themeColor="text1"/>
          <w:sz w:val="27"/>
        </w:rPr>
      </w:pPr>
    </w:p>
    <w:tbl>
      <w:tblPr>
        <w:tblStyle w:val="afe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961"/>
      </w:tblGrid>
      <w:tr w:rsidR="00611366" w:rsidRPr="006113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2788" w:rsidRPr="00611366" w:rsidRDefault="00A35115">
            <w:pPr>
              <w:jc w:val="both"/>
              <w:rPr>
                <w:color w:val="000000" w:themeColor="text1"/>
                <w:sz w:val="27"/>
              </w:rPr>
            </w:pPr>
            <w:r w:rsidRPr="00611366">
              <w:rPr>
                <w:color w:val="000000" w:themeColor="text1"/>
                <w:sz w:val="27"/>
              </w:rPr>
              <w:t>Об отчете Губернатора Алтайского края о результатах деятельности Правительства Алтайского края за 2021 год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02788" w:rsidRPr="00611366" w:rsidRDefault="00A35115">
            <w:pPr>
              <w:keepNext/>
              <w:widowControl w:val="0"/>
              <w:jc w:val="right"/>
              <w:rPr>
                <w:color w:val="000000" w:themeColor="text1"/>
                <w:sz w:val="27"/>
              </w:rPr>
            </w:pPr>
            <w:r w:rsidRPr="00611366">
              <w:rPr>
                <w:color w:val="000000" w:themeColor="text1"/>
                <w:sz w:val="27"/>
              </w:rPr>
              <w:t xml:space="preserve">Проект </w:t>
            </w:r>
          </w:p>
          <w:p w:rsidR="00202788" w:rsidRPr="00611366" w:rsidRDefault="00A35115">
            <w:pPr>
              <w:keepNext/>
              <w:widowControl w:val="0"/>
              <w:jc w:val="right"/>
              <w:rPr>
                <w:color w:val="000000" w:themeColor="text1"/>
                <w:sz w:val="27"/>
              </w:rPr>
            </w:pPr>
            <w:r w:rsidRPr="00611366">
              <w:rPr>
                <w:color w:val="000000" w:themeColor="text1"/>
                <w:sz w:val="27"/>
              </w:rPr>
              <w:t>(Новая редакция)</w:t>
            </w:r>
          </w:p>
          <w:p w:rsidR="00202788" w:rsidRPr="00611366" w:rsidRDefault="00202788">
            <w:pPr>
              <w:keepNext/>
              <w:widowControl w:val="0"/>
              <w:jc w:val="right"/>
              <w:rPr>
                <w:color w:val="000000" w:themeColor="text1"/>
                <w:sz w:val="27"/>
              </w:rPr>
            </w:pPr>
          </w:p>
        </w:tc>
      </w:tr>
    </w:tbl>
    <w:p w:rsidR="00202788" w:rsidRPr="00611366" w:rsidRDefault="00202788">
      <w:pPr>
        <w:jc w:val="both"/>
        <w:rPr>
          <w:color w:val="000000" w:themeColor="text1"/>
          <w:sz w:val="27"/>
        </w:rPr>
      </w:pPr>
    </w:p>
    <w:p w:rsidR="00202788" w:rsidRPr="00611366" w:rsidRDefault="00202788">
      <w:pPr>
        <w:jc w:val="both"/>
        <w:rPr>
          <w:color w:val="000000" w:themeColor="text1"/>
          <w:sz w:val="27"/>
        </w:rPr>
      </w:pP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Заслушав в соответствии со статьей 81 Устава (Основного Закона) Алтайского края отчет Губернатора Алтайского края о результатах деятельности Правительства Алтайского края за 2021 год, Алтайское краевое Законодательное Собрание отмечает, что Правительством Алтайского края в отчетном году осуществлен комплекс мер, направленных на реализацию поставленных Президентом Российской Федерации Путиным</w:t>
      </w:r>
      <w:r w:rsidRPr="00611366">
        <w:rPr>
          <w:color w:val="000000" w:themeColor="text1"/>
        </w:rPr>
        <w:t xml:space="preserve"> </w:t>
      </w:r>
      <w:r w:rsidRPr="00611366">
        <w:rPr>
          <w:color w:val="000000" w:themeColor="text1"/>
          <w:sz w:val="27"/>
        </w:rPr>
        <w:t>В.В. стратегических задач, на обеспечение санитарно</w:t>
      </w:r>
      <w:r w:rsidR="00B55024">
        <w:rPr>
          <w:color w:val="000000" w:themeColor="text1"/>
          <w:sz w:val="27"/>
        </w:rPr>
        <w:t>-</w:t>
      </w:r>
      <w:r w:rsidRPr="00611366">
        <w:rPr>
          <w:color w:val="000000" w:themeColor="text1"/>
          <w:sz w:val="27"/>
        </w:rPr>
        <w:t xml:space="preserve">эпидемиологического благополучия населения, на реализацию региональных проектов в рамках национальных проектов, которые способствовали сдерживанию эпидемии </w:t>
      </w:r>
      <w:proofErr w:type="spellStart"/>
      <w:r w:rsidRPr="00611366">
        <w:rPr>
          <w:color w:val="000000" w:themeColor="text1"/>
          <w:sz w:val="27"/>
        </w:rPr>
        <w:t>коронавирусной</w:t>
      </w:r>
      <w:proofErr w:type="spellEnd"/>
      <w:r w:rsidRPr="00611366">
        <w:rPr>
          <w:color w:val="000000" w:themeColor="text1"/>
          <w:sz w:val="27"/>
        </w:rPr>
        <w:t xml:space="preserve"> инфекции, выходу экономики на устойчивую траекторию роста, увеличению доходов консолидированного бюджета края,  развитию социальной сферы региона.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Принятые Правительством Алтайского края меры по стимулированию хозяйственной деятельности организаций способствовали поступательному восстановлению экономики края и занятости населения до уровня </w:t>
      </w:r>
      <w:proofErr w:type="spellStart"/>
      <w:r w:rsidRPr="00611366">
        <w:rPr>
          <w:color w:val="000000" w:themeColor="text1"/>
          <w:sz w:val="27"/>
        </w:rPr>
        <w:t>допандемийного</w:t>
      </w:r>
      <w:proofErr w:type="spellEnd"/>
      <w:r w:rsidRPr="00611366">
        <w:rPr>
          <w:color w:val="000000" w:themeColor="text1"/>
          <w:sz w:val="27"/>
        </w:rPr>
        <w:t xml:space="preserve"> 2019 года. В 2021 году индекс производства продукции сельского хозяйства составил 118,3 процента, индекс промышленного производства – 101,7 процента. Объем строительных работ вырос к уровню 2020 года на 6,6 процента. В эксплуатацию введено 988,7 тысячи квадратных метров жилья, что на 19,6 процента больше уровня 2020 года.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Стабилизирована ситуация на рынке труда. Численн</w:t>
      </w:r>
      <w:r w:rsidR="00B55024">
        <w:rPr>
          <w:color w:val="000000" w:themeColor="text1"/>
          <w:sz w:val="27"/>
        </w:rPr>
        <w:t>ость занятого населения к концу</w:t>
      </w:r>
      <w:r w:rsidRPr="00611366">
        <w:rPr>
          <w:color w:val="000000" w:themeColor="text1"/>
          <w:sz w:val="27"/>
        </w:rPr>
        <w:t xml:space="preserve"> 2021 года возросла на 68,2 тысячи человек и составила 1074,6 тысячи человек, превысив уровень 2019 года. Уровень зарегистрированной безработицы снизился к уровню 2020 года в более чем в 2 раза – до 1,5 процента. Темп роста номинальной заработной платы в 2021 году составил 109,3 процента. Реальная заработная плата составила 101,3 процента.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Сфера потребления и услуг в 2021 году вышла на положительные темпы роста: оборот розничной торговли – 102,4 процента, оборот общественного питания – 117,6 процента, объем платных услуг – 105,0 процентов.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lastRenderedPageBreak/>
        <w:t xml:space="preserve">Объем валового регионального продукта оценивается в размере 770 миллиардов рублей с темпом роста в сопоставимых ценах 3 процента. Доходы консолидированного бюджета края увеличились в сравнении с 2020 годом на 12,4 процента и составили 173,3 миллиарда рублей, из них налоговые и неналоговые доходы выросли на 20,1 процента и превысили 96 миллиардов рублей. На поддержку бюджетной системы Алтайского края дополнительно привлечено из федерального бюджета свыше 13 миллиардов рублей.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На финансирование отраслей социальной сферы направлено 117,4 миллиарда рублей или 71 процент в объеме расходов, что на 9 процентов больше, чем в 2020 году. Объем финансирования мероприятий 46 региональных проектов составил 18,8 миллиарда рублей, в том числе из федерального бюджета – 10,6 миллиарда рублей. Продолжена реализация краевой адресной инвестиционной программы: в 2021 году построено и капитально отремонтировано 217 социально значимых объектов. Приняты меры по поддержке местных полномочий, в том числе в сфере жилищно-коммунального хозяйства, теплоснабжения. Межбюджетные трансферты местным бюджетам увеличены на 7,1 миллиарда рублей и </w:t>
      </w:r>
      <w:r w:rsidR="00B55024">
        <w:rPr>
          <w:color w:val="000000" w:themeColor="text1"/>
          <w:sz w:val="27"/>
        </w:rPr>
        <w:t>достигли 41,8 миллиарда рублей,</w:t>
      </w:r>
      <w:r w:rsidRPr="00611366">
        <w:rPr>
          <w:color w:val="000000" w:themeColor="text1"/>
          <w:sz w:val="27"/>
        </w:rPr>
        <w:t xml:space="preserve"> из них на выполнение местных полномочий направлено около 19 миллиардов рублей. Объем бюджетн</w:t>
      </w:r>
      <w:r w:rsidR="00611366">
        <w:rPr>
          <w:color w:val="000000" w:themeColor="text1"/>
          <w:sz w:val="27"/>
        </w:rPr>
        <w:t xml:space="preserve">ых инвестиций, направленных на </w:t>
      </w:r>
      <w:r w:rsidRPr="00611366">
        <w:rPr>
          <w:color w:val="000000" w:themeColor="text1"/>
          <w:sz w:val="27"/>
        </w:rPr>
        <w:t xml:space="preserve">обновление дорожно-строительной и коммунальной техники, муниципального пассажирского транспорта в 2021 году превысил </w:t>
      </w:r>
      <w:r w:rsidR="00611366">
        <w:rPr>
          <w:color w:val="000000" w:themeColor="text1"/>
          <w:sz w:val="27"/>
        </w:rPr>
        <w:t xml:space="preserve">            </w:t>
      </w:r>
      <w:r w:rsidRPr="00611366">
        <w:rPr>
          <w:color w:val="000000" w:themeColor="text1"/>
          <w:sz w:val="27"/>
        </w:rPr>
        <w:t xml:space="preserve">1,5 миллиарда рублей. Расходы бюджетов всех уровней на реконструкцию и капитальный ремонт объектов коммунальной инфраструктуры возросли в 1,4 раза до 2 миллиардов рублей.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Обеспечено достижение основных показателей в сфере жилищно-коммунального хозяйства, в том числе в рамках национальных целей и проектов. Реализованы запланированные мероприятия по газификации, реконструкции, капитальному ремонту объектов коммунальной инфраструктуры, многоквартирных жилых домов, переселению граждан из аварийного жилищного фонда, благоустройству общественных пространств и дворовых территорий, введены в эксплуатацию два мусоросортировочных комплекса. Продолжены мероприятия по развитию и поддержанию в нормативном состоянии объектов транспортной инфраструктуры. Отремонтировано 869,2 километра и построено 43,4 километра автомобильных дорог, введено в эксплуатацию 10 мостов.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Реализован комплекс мер социальной поддержки населения (в том числе семей с детьми) в части компенсации расходов на газификацию, на оплату жилого помещения и коммунальных услуг, на приобретение угля. Проведена работа по </w:t>
      </w:r>
      <w:proofErr w:type="gramStart"/>
      <w:r w:rsidRPr="00611366">
        <w:rPr>
          <w:color w:val="000000" w:themeColor="text1"/>
          <w:sz w:val="27"/>
        </w:rPr>
        <w:t>увеличению</w:t>
      </w:r>
      <w:proofErr w:type="gramEnd"/>
      <w:r w:rsidRPr="00611366">
        <w:rPr>
          <w:color w:val="000000" w:themeColor="text1"/>
          <w:sz w:val="27"/>
        </w:rPr>
        <w:t xml:space="preserve"> доли социально значимых услуг, доступных в электронном виде, и созданию информационной инфраструктуры социально значимых объектов. Совместно с депутатами Алтайского краевого Законодательного Собрания реализована возможность предоставления жилищных сертификатов детям-сиротам. В образовательных организациях края проведены мероприятия по созданию современн</w:t>
      </w:r>
      <w:r w:rsidR="00B55024">
        <w:rPr>
          <w:color w:val="000000" w:themeColor="text1"/>
          <w:sz w:val="27"/>
        </w:rPr>
        <w:t>ых условий обучения,</w:t>
      </w:r>
      <w:r w:rsidRPr="00611366">
        <w:rPr>
          <w:color w:val="000000" w:themeColor="text1"/>
          <w:sz w:val="27"/>
        </w:rPr>
        <w:t xml:space="preserve"> внедрению новых образовательных технологий в школах сельской местности и малых городов, обеспечению учеников начального общего образования бесплатным горячим питанием.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В сфере здравоохранения приняты меры по своевременной госпитализации граждан в условиях роста заболеваемости </w:t>
      </w:r>
      <w:proofErr w:type="spellStart"/>
      <w:r w:rsidRPr="00611366">
        <w:rPr>
          <w:color w:val="000000" w:themeColor="text1"/>
          <w:sz w:val="27"/>
        </w:rPr>
        <w:t>коронавирусной</w:t>
      </w:r>
      <w:proofErr w:type="spellEnd"/>
      <w:r w:rsidRPr="00611366">
        <w:rPr>
          <w:color w:val="000000" w:themeColor="text1"/>
          <w:sz w:val="27"/>
        </w:rPr>
        <w:t xml:space="preserve"> инфекцией, по </w:t>
      </w:r>
      <w:r w:rsidRPr="00611366">
        <w:rPr>
          <w:color w:val="000000" w:themeColor="text1"/>
          <w:sz w:val="27"/>
        </w:rPr>
        <w:lastRenderedPageBreak/>
        <w:t>возобновлению оказания плановой медицинской помощи, проведению диспансеризации и профилактических осмотров. В 2021 году построено и реконструировано 18 объектов первичного звена здравоохранения, реализованы организационно-планировочные решения и дооснащение 82 детских поликлиник и отделений, мероприятия по внедрению медицинских информационных систем. Продолжена работа по профилактике развития онкологических и сердечно-сосудистых заболеваний, оснащению оборудованием краевых диспансеров и сосудистых центров. Открыт центр амбулаторной онкологической помощи в городе Славгороде. Подготовлен новый план мероприятий по укомплектованию краевых медицинских организаций медицинскими кадрами и введению с 2022 года дополнительных мер поддержки медицинских специалистов.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В полном объеме выполнен национальный проект «Культура», </w:t>
      </w:r>
      <w:proofErr w:type="gramStart"/>
      <w:r w:rsidRPr="00611366">
        <w:rPr>
          <w:color w:val="000000" w:themeColor="text1"/>
          <w:sz w:val="27"/>
        </w:rPr>
        <w:t>также  осуществлялось</w:t>
      </w:r>
      <w:proofErr w:type="gramEnd"/>
      <w:r w:rsidRPr="00611366">
        <w:rPr>
          <w:color w:val="000000" w:themeColor="text1"/>
          <w:sz w:val="27"/>
        </w:rPr>
        <w:t xml:space="preserve"> строительство, капитальный ремонт сельских домов культуры и детских школ искусств. Введено в эксплуатацию здание театра кукол «Сказка».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Продолжено развитие инфраструктуры массового спорта, в том </w:t>
      </w:r>
      <w:proofErr w:type="gramStart"/>
      <w:r w:rsidRPr="00611366">
        <w:rPr>
          <w:color w:val="000000" w:themeColor="text1"/>
          <w:sz w:val="27"/>
        </w:rPr>
        <w:t>числе  строительство</w:t>
      </w:r>
      <w:proofErr w:type="gramEnd"/>
      <w:r w:rsidRPr="00611366">
        <w:rPr>
          <w:color w:val="000000" w:themeColor="text1"/>
          <w:sz w:val="27"/>
        </w:rPr>
        <w:t xml:space="preserve"> спортивных площадок, физкультурно-оздоровительных комплексов.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Реализованы мероприятия в сфере молодежной политики: на обеспечение жильем 976 молодых семей направлено 614,6 миллиона </w:t>
      </w:r>
      <w:proofErr w:type="gramStart"/>
      <w:r w:rsidRPr="00611366">
        <w:rPr>
          <w:color w:val="000000" w:themeColor="text1"/>
          <w:sz w:val="27"/>
        </w:rPr>
        <w:t>рублей,  предоставлены</w:t>
      </w:r>
      <w:proofErr w:type="gramEnd"/>
      <w:r w:rsidRPr="00611366">
        <w:rPr>
          <w:color w:val="000000" w:themeColor="text1"/>
          <w:sz w:val="27"/>
        </w:rPr>
        <w:t xml:space="preserve"> гранты на осуществление 38 молодежных проектов, направленных на развитие региона,  продолжена поддержка движения студенческих отрядов.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На развитие экономики в 2021 году направлено 124,4 миллиарда рублей инвестиций в основной капитал, в том числе 105,3 миллиарда рублей или 84,6 процента – внебюджетные инвестиции. Продолжено развитие инструментов стимулирования инвестиционной активности бизнеса. Проведена </w:t>
      </w:r>
      <w:proofErr w:type="spellStart"/>
      <w:r w:rsidRPr="00611366">
        <w:rPr>
          <w:color w:val="000000" w:themeColor="text1"/>
          <w:sz w:val="27"/>
        </w:rPr>
        <w:t>докапитализация</w:t>
      </w:r>
      <w:proofErr w:type="spellEnd"/>
      <w:r w:rsidRPr="00611366">
        <w:rPr>
          <w:color w:val="000000" w:themeColor="text1"/>
          <w:sz w:val="27"/>
        </w:rPr>
        <w:t xml:space="preserve"> региональных фондов развития и привлечены средства федерального бюджета на субсидирование затрат субъектов малого и среднего предпринимательства в рамках исполнения индивидуальной программы социально-экономического развития Алтайского края на 2020 – 2024 годы. Участие края в реализации новых инструментов долгосрочного финансирования региональных инфраструктурных проектов позволило </w:t>
      </w:r>
      <w:r w:rsidR="00872335">
        <w:rPr>
          <w:color w:val="000000" w:themeColor="text1"/>
          <w:sz w:val="27"/>
        </w:rPr>
        <w:t>привлечь федеральные средства в</w:t>
      </w:r>
      <w:r w:rsidRPr="00611366">
        <w:rPr>
          <w:color w:val="000000" w:themeColor="text1"/>
          <w:sz w:val="27"/>
        </w:rPr>
        <w:t xml:space="preserve"> сумме 12,3 миллиарда рублей. За два года выполнено строительство промышленного технопарка в городе Рубцовске, общая сумма вложений составила 686,5 миллиона рублей. На федеральном уровне поддержана инициатива края по созданию промышленного </w:t>
      </w:r>
      <w:proofErr w:type="spellStart"/>
      <w:r w:rsidRPr="00611366">
        <w:rPr>
          <w:color w:val="000000" w:themeColor="text1"/>
          <w:sz w:val="27"/>
        </w:rPr>
        <w:t>биотехнопарка</w:t>
      </w:r>
      <w:proofErr w:type="spellEnd"/>
      <w:r w:rsidRPr="00611366">
        <w:rPr>
          <w:color w:val="000000" w:themeColor="text1"/>
          <w:sz w:val="27"/>
        </w:rPr>
        <w:t xml:space="preserve"> в городе Бийске. Продолжена работа по привлечению резидентов территорий опережающего соц</w:t>
      </w:r>
      <w:r w:rsidR="00872335">
        <w:rPr>
          <w:color w:val="000000" w:themeColor="text1"/>
          <w:sz w:val="27"/>
        </w:rPr>
        <w:t>иально-экономического развития,</w:t>
      </w:r>
      <w:bookmarkStart w:id="0" w:name="_GoBack"/>
      <w:bookmarkEnd w:id="0"/>
      <w:r w:rsidRPr="00611366">
        <w:rPr>
          <w:color w:val="000000" w:themeColor="text1"/>
          <w:sz w:val="27"/>
        </w:rPr>
        <w:t xml:space="preserve"> реализации крупных инвестиционных проектов в сфере туризма и мероприятий федерального проекта по  развитию туристической инфраструктуры. На протяжении 2021 года решались задачи роста производительности труда, содействия занятости.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 xml:space="preserve">На основе анализа результатов экономики прошлого года были сформированы планы социально-экономического развития региона, намечены для реализации перспективные экономические и социальные проекты, обеспеченные финансами. Однако ограничения вследствие внешнего </w:t>
      </w:r>
      <w:proofErr w:type="spellStart"/>
      <w:r w:rsidRPr="00611366">
        <w:rPr>
          <w:color w:val="000000" w:themeColor="text1"/>
          <w:sz w:val="27"/>
        </w:rPr>
        <w:t>санкционного</w:t>
      </w:r>
      <w:proofErr w:type="spellEnd"/>
      <w:r w:rsidRPr="00611366">
        <w:rPr>
          <w:color w:val="000000" w:themeColor="text1"/>
          <w:sz w:val="27"/>
        </w:rPr>
        <w:t xml:space="preserve"> давления на экономику страны потребуют в 2022 году приоритетного внимания со стороны Правительства Алтайского края к вопросам своевременной реализации проектов, </w:t>
      </w:r>
      <w:r w:rsidR="00B55024">
        <w:rPr>
          <w:color w:val="000000" w:themeColor="text1"/>
          <w:sz w:val="27"/>
        </w:rPr>
        <w:lastRenderedPageBreak/>
        <w:t>обеспечения</w:t>
      </w:r>
      <w:r w:rsidRPr="00611366">
        <w:rPr>
          <w:color w:val="000000" w:themeColor="text1"/>
          <w:sz w:val="27"/>
        </w:rPr>
        <w:t xml:space="preserve"> бесперебойной деятельности предприятий, занятости населения, оказания адресной поддержки гражданам в трудной жизненной ситуации, бесперебойного обеспечения потребительскими товарами.  </w:t>
      </w:r>
    </w:p>
    <w:p w:rsidR="00202788" w:rsidRPr="00611366" w:rsidRDefault="00202788">
      <w:pPr>
        <w:ind w:firstLine="708"/>
        <w:jc w:val="both"/>
        <w:rPr>
          <w:color w:val="000000" w:themeColor="text1"/>
          <w:sz w:val="27"/>
        </w:rPr>
      </w:pP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02788" w:rsidRPr="00611366" w:rsidRDefault="00202788">
      <w:pPr>
        <w:ind w:firstLine="708"/>
        <w:jc w:val="both"/>
        <w:rPr>
          <w:color w:val="000000" w:themeColor="text1"/>
          <w:sz w:val="27"/>
        </w:rPr>
      </w:pP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1. Принять отчет о результатах деятельности Правительства Алтайского края за 2021 год по обеспечению устойчивого социально-экономического развития региона в соответствии со стратегическими приоритетами Алтайского края.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2. Принять к сведению годовой доклад о ходе реализации и об оценке эффективности государственных программ Алтайского края за 2021 год.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3. Считать первоочередными задачами социально-экономического развития Алтайского края на 2022 год: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в Алтайском крае национальных целей развития в рамках исполнения Указа Президента Российской Федерации от 21 июля 2020 года № 474;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стратегии социально-экономического развития Алтайского края до 2035 года;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индивидуальной программы социально-экономического развития Алтайского края на 2020 – 2024 годы;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участие</w:t>
      </w:r>
      <w:proofErr w:type="gramEnd"/>
      <w:r w:rsidRPr="00611366">
        <w:rPr>
          <w:color w:val="000000" w:themeColor="text1"/>
          <w:sz w:val="27"/>
        </w:rPr>
        <w:t xml:space="preserve"> в реализации плана первоочередных действий по обеспечению развития российской экономики в условиях внешнего </w:t>
      </w:r>
      <w:proofErr w:type="spellStart"/>
      <w:r w:rsidRPr="00611366">
        <w:rPr>
          <w:color w:val="000000" w:themeColor="text1"/>
          <w:sz w:val="27"/>
        </w:rPr>
        <w:t>санкционного</w:t>
      </w:r>
      <w:proofErr w:type="spellEnd"/>
      <w:r w:rsidRPr="00611366">
        <w:rPr>
          <w:color w:val="000000" w:themeColor="text1"/>
          <w:sz w:val="27"/>
        </w:rPr>
        <w:t xml:space="preserve"> давления;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плана мероприятий по обеспечению экономической устойчивости Алтайского края и сбалансированности консолидированного бюджета региона в условиях внешнего </w:t>
      </w:r>
      <w:proofErr w:type="spellStart"/>
      <w:r w:rsidRPr="00611366">
        <w:rPr>
          <w:color w:val="000000" w:themeColor="text1"/>
          <w:sz w:val="27"/>
        </w:rPr>
        <w:t>санкционного</w:t>
      </w:r>
      <w:proofErr w:type="spellEnd"/>
      <w:r w:rsidRPr="00611366">
        <w:rPr>
          <w:color w:val="000000" w:themeColor="text1"/>
          <w:sz w:val="27"/>
        </w:rPr>
        <w:t xml:space="preserve"> давления на 2022 год;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содействие</w:t>
      </w:r>
      <w:proofErr w:type="gramEnd"/>
      <w:r w:rsidRPr="00611366">
        <w:rPr>
          <w:color w:val="000000" w:themeColor="text1"/>
          <w:sz w:val="27"/>
        </w:rPr>
        <w:t xml:space="preserve"> бесперебойной деятельности предприятий, расположенных на территории Алтайского края;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условий для успешного проведения посевных работ,  динамичного развития сельского хозяйства и пищевой промышленности;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выполнение</w:t>
      </w:r>
      <w:proofErr w:type="gramEnd"/>
      <w:r w:rsidRPr="00611366">
        <w:rPr>
          <w:color w:val="000000" w:themeColor="text1"/>
          <w:sz w:val="27"/>
        </w:rPr>
        <w:t xml:space="preserve"> социальных обязательств перед гражданами, в том числе обеспечение своевременной и в полном объеме выплаты заработной платы работникам бюджетной сферы, предоставление мер социальной поддержки населению, оказание финансовой помощи органам местного самоуправления в ходе исполнения консолидированного бюджета Алтайского края;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мер поддержки рынка труда: организацию общественных работ, временного трудоустройства работников предприятий,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субсидирование затрат работодателей при трудоустройстве отдельных категорий молодежи;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адресное</w:t>
      </w:r>
      <w:proofErr w:type="gramEnd"/>
      <w:r w:rsidRPr="00611366">
        <w:rPr>
          <w:color w:val="000000" w:themeColor="text1"/>
          <w:sz w:val="27"/>
        </w:rPr>
        <w:t xml:space="preserve"> социальное сопровождение граждан, находящихся в трудной жизненной ситуации, в том числе заключивших социальный контракт;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формирование</w:t>
      </w:r>
      <w:proofErr w:type="gramEnd"/>
      <w:r w:rsidRPr="00611366">
        <w:rPr>
          <w:color w:val="000000" w:themeColor="text1"/>
          <w:sz w:val="27"/>
        </w:rPr>
        <w:t xml:space="preserve"> конкурентного рынка социальных услуг, переход к формированию государственного социального заказа;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совершенствование</w:t>
      </w:r>
      <w:proofErr w:type="gramEnd"/>
      <w:r w:rsidRPr="00611366">
        <w:rPr>
          <w:color w:val="000000" w:themeColor="text1"/>
          <w:sz w:val="27"/>
        </w:rPr>
        <w:t xml:space="preserve"> механизмов реализации демографической политики в интересах граждан старшего возраста и семей с детьми;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lastRenderedPageBreak/>
        <w:t>продолжение</w:t>
      </w:r>
      <w:proofErr w:type="gramEnd"/>
      <w:r w:rsidRPr="00611366">
        <w:rPr>
          <w:color w:val="000000" w:themeColor="text1"/>
          <w:sz w:val="27"/>
        </w:rPr>
        <w:t xml:space="preserve"> работы по совершенствованию механизмов обеспечения детей-сирот жилыми помещениями;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дальнейшее</w:t>
      </w:r>
      <w:proofErr w:type="gramEnd"/>
      <w:r w:rsidRPr="00611366">
        <w:rPr>
          <w:color w:val="000000" w:themeColor="text1"/>
          <w:sz w:val="27"/>
        </w:rPr>
        <w:t xml:space="preserve"> обеспечение детей в возрасте от полутора до трех лет местами в дошкольных образовательных учреждениях;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современных условий обучения в образовательных организациях, в том числе в части обеспечения усиления материально-технической базы профессиональных образовательных организаций, а также увеличения стипендий учащимся профессиональных образовательных организаций;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развитие</w:t>
      </w:r>
      <w:proofErr w:type="gramEnd"/>
      <w:r w:rsidRPr="00611366">
        <w:rPr>
          <w:color w:val="000000" w:themeColor="text1"/>
          <w:sz w:val="27"/>
        </w:rPr>
        <w:t xml:space="preserve"> системы непрерывного образования, подготовки и переподготовки профессиональных кадров Алтайского края;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совершенствование</w:t>
      </w:r>
      <w:proofErr w:type="gramEnd"/>
      <w:r w:rsidRPr="00611366">
        <w:rPr>
          <w:color w:val="000000" w:themeColor="text1"/>
          <w:sz w:val="27"/>
        </w:rPr>
        <w:t xml:space="preserve"> программ привлечения и сохранения </w:t>
      </w:r>
      <w:r w:rsidR="00B55024">
        <w:rPr>
          <w:color w:val="000000" w:themeColor="text1"/>
          <w:sz w:val="27"/>
        </w:rPr>
        <w:t>квалифицированных кадров в сфере</w:t>
      </w:r>
      <w:r w:rsidRPr="00611366">
        <w:rPr>
          <w:color w:val="000000" w:themeColor="text1"/>
          <w:sz w:val="27"/>
        </w:rPr>
        <w:t xml:space="preserve"> образования, здравоохранения, промышленности, государственного и муниципального управления;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условий для популяризации и развития науки и инноваций, закрепления талантливых кадров в научно-технологическом комплексе;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внедрение</w:t>
      </w:r>
      <w:proofErr w:type="gramEnd"/>
      <w:r w:rsidRPr="00611366">
        <w:rPr>
          <w:color w:val="000000" w:themeColor="text1"/>
          <w:sz w:val="27"/>
        </w:rPr>
        <w:t xml:space="preserve"> новых форм работы для увеличения посещаемости учреждений культуры; 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развитие</w:t>
      </w:r>
      <w:proofErr w:type="gramEnd"/>
      <w:r w:rsidRPr="00611366">
        <w:rPr>
          <w:color w:val="000000" w:themeColor="text1"/>
          <w:sz w:val="27"/>
        </w:rPr>
        <w:t xml:space="preserve"> первичной медико-санитарной и специализированной медицинской помощи в краевых медицинских организациях, в том числе в рамках реализации программы модернизации первичного звена здравоохранения и региональных сегментов национальных проектов «Здравоохранение» и «Демография»;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условий для увеличения числа граждан, систематически занимающихся физической культурой и спортом;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дополнительных условий для развития и поддержки добровольчества (</w:t>
      </w:r>
      <w:proofErr w:type="spellStart"/>
      <w:r w:rsidRPr="00611366">
        <w:rPr>
          <w:color w:val="000000" w:themeColor="text1"/>
          <w:sz w:val="27"/>
        </w:rPr>
        <w:t>волонтерства</w:t>
      </w:r>
      <w:proofErr w:type="spellEnd"/>
      <w:r w:rsidRPr="00611366">
        <w:rPr>
          <w:color w:val="000000" w:themeColor="text1"/>
          <w:sz w:val="27"/>
        </w:rPr>
        <w:t>);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дальнейшее</w:t>
      </w:r>
      <w:proofErr w:type="gramEnd"/>
      <w:r w:rsidRPr="00611366">
        <w:rPr>
          <w:color w:val="000000" w:themeColor="text1"/>
          <w:sz w:val="27"/>
        </w:rPr>
        <w:t xml:space="preserve"> развитие внутреннего и въездного туризма на территории Алтайского края, повышение туристско-рекреационной привлекательности региона;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повышение</w:t>
      </w:r>
      <w:proofErr w:type="gramEnd"/>
      <w:r w:rsidRPr="00611366">
        <w:rPr>
          <w:color w:val="000000" w:themeColor="text1"/>
          <w:sz w:val="27"/>
        </w:rPr>
        <w:t xml:space="preserve"> доли дорог общего пользования регионального значения, соответствующих нормативному состоянию;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повышение</w:t>
      </w:r>
      <w:proofErr w:type="gramEnd"/>
      <w:r w:rsidRPr="00611366">
        <w:rPr>
          <w:color w:val="000000" w:themeColor="text1"/>
          <w:sz w:val="27"/>
        </w:rPr>
        <w:t xml:space="preserve"> надежности функционирования систем жизнеобеспечения населения;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повышение</w:t>
      </w:r>
      <w:proofErr w:type="gramEnd"/>
      <w:r w:rsidRPr="00611366">
        <w:rPr>
          <w:color w:val="000000" w:themeColor="text1"/>
          <w:sz w:val="27"/>
        </w:rPr>
        <w:t xml:space="preserve"> эффективности управления в сфере обращения с твердыми коммунальными отходами;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обеспечение</w:t>
      </w:r>
      <w:proofErr w:type="gramEnd"/>
      <w:r w:rsidRPr="00611366">
        <w:rPr>
          <w:color w:val="000000" w:themeColor="text1"/>
          <w:sz w:val="27"/>
        </w:rPr>
        <w:t xml:space="preserve"> реализации программы развития газоснабжения и газификации Алтайского края на период 2021 – 2025 годов;</w:t>
      </w:r>
    </w:p>
    <w:p w:rsidR="00202788" w:rsidRPr="00611366" w:rsidRDefault="00A35115">
      <w:pPr>
        <w:ind w:firstLine="708"/>
        <w:jc w:val="both"/>
        <w:rPr>
          <w:iCs/>
          <w:color w:val="000000" w:themeColor="text1"/>
          <w:sz w:val="27"/>
        </w:rPr>
      </w:pPr>
      <w:proofErr w:type="gramStart"/>
      <w:r w:rsidRPr="00611366">
        <w:rPr>
          <w:iCs/>
          <w:color w:val="000000" w:themeColor="text1"/>
          <w:sz w:val="27"/>
        </w:rPr>
        <w:t>совершенствование</w:t>
      </w:r>
      <w:proofErr w:type="gramEnd"/>
      <w:r w:rsidRPr="00611366">
        <w:rPr>
          <w:iCs/>
          <w:color w:val="000000" w:themeColor="text1"/>
          <w:sz w:val="27"/>
        </w:rPr>
        <w:t xml:space="preserve"> условий ведения бизнеса, включая создание благоприятного инвестиционного и предпринимательского климата, в том числе с применением механизмов налогового стимулиров</w:t>
      </w:r>
      <w:r w:rsidR="00BA1FBC" w:rsidRPr="00611366">
        <w:rPr>
          <w:iCs/>
          <w:color w:val="000000" w:themeColor="text1"/>
          <w:sz w:val="27"/>
        </w:rPr>
        <w:t>а</w:t>
      </w:r>
      <w:r w:rsidRPr="00611366">
        <w:rPr>
          <w:iCs/>
          <w:color w:val="000000" w:themeColor="text1"/>
          <w:sz w:val="27"/>
        </w:rPr>
        <w:t>ния;</w:t>
      </w:r>
    </w:p>
    <w:p w:rsidR="00202788" w:rsidRPr="00611366" w:rsidRDefault="00A35115">
      <w:pPr>
        <w:ind w:firstLine="708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развитие</w:t>
      </w:r>
      <w:proofErr w:type="gramEnd"/>
      <w:r w:rsidRPr="00611366">
        <w:rPr>
          <w:color w:val="000000" w:themeColor="text1"/>
          <w:sz w:val="27"/>
        </w:rPr>
        <w:t xml:space="preserve"> территорий с особыми условиями (территории опережающего социально-экономического развития, особые экономические зоны, промышленные технопарки);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крупных инфраструктурных проектов;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условий для эффективной реализации государственной политики в сфере импортозамещения;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lastRenderedPageBreak/>
        <w:t>расширение</w:t>
      </w:r>
      <w:proofErr w:type="gramEnd"/>
      <w:r w:rsidRPr="00611366">
        <w:rPr>
          <w:color w:val="000000" w:themeColor="text1"/>
          <w:sz w:val="27"/>
        </w:rPr>
        <w:t xml:space="preserve"> практики использования инструментов государственно-частного партнерства для развития социальной инфраструктуры региона;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развитие</w:t>
      </w:r>
      <w:proofErr w:type="gramEnd"/>
      <w:r w:rsidRPr="00611366">
        <w:rPr>
          <w:color w:val="000000" w:themeColor="text1"/>
          <w:sz w:val="27"/>
        </w:rPr>
        <w:t xml:space="preserve"> институтов инициативного бюджетирования и совершенствование механизмов отбора инициативных проектов развития (создания) общественной инфраструктуры муниципальных образований;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создание</w:t>
      </w:r>
      <w:proofErr w:type="gramEnd"/>
      <w:r w:rsidRPr="00611366">
        <w:rPr>
          <w:color w:val="000000" w:themeColor="text1"/>
          <w:sz w:val="27"/>
        </w:rPr>
        <w:t xml:space="preserve"> условий для развития конкуренции субъектов малого и среднего предпринимательства, расширения ярм</w:t>
      </w:r>
      <w:r w:rsidR="00BA1FBC" w:rsidRPr="00611366">
        <w:rPr>
          <w:color w:val="000000" w:themeColor="text1"/>
          <w:sz w:val="27"/>
        </w:rPr>
        <w:t>а</w:t>
      </w:r>
      <w:r w:rsidRPr="00611366">
        <w:rPr>
          <w:color w:val="000000" w:themeColor="text1"/>
          <w:sz w:val="27"/>
        </w:rPr>
        <w:t>рочной, нестационарной и мобильной торговли, прямых продаж производителями продукции, включая организации потребительской кооперации, осуществляющие торговлю товарами первой необходимости в отдаленных сельских населенных пунктах;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реализацию</w:t>
      </w:r>
      <w:proofErr w:type="gramEnd"/>
      <w:r w:rsidRPr="00611366">
        <w:rPr>
          <w:color w:val="000000" w:themeColor="text1"/>
          <w:sz w:val="27"/>
        </w:rPr>
        <w:t xml:space="preserve"> мероприятий по социальному и инженерному обустройству сельских территорий;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proofErr w:type="gramStart"/>
      <w:r w:rsidRPr="00611366">
        <w:rPr>
          <w:color w:val="000000" w:themeColor="text1"/>
          <w:sz w:val="27"/>
        </w:rPr>
        <w:t>усиление</w:t>
      </w:r>
      <w:proofErr w:type="gramEnd"/>
      <w:r w:rsidRPr="00611366">
        <w:rPr>
          <w:color w:val="000000" w:themeColor="text1"/>
          <w:sz w:val="27"/>
        </w:rPr>
        <w:t xml:space="preserve"> контроля эффективности расходования бюджетных средств, организации и проведения конкурсных процедур при проведении закупок для государственных и муниципальных нужд.</w:t>
      </w:r>
    </w:p>
    <w:p w:rsidR="00202788" w:rsidRPr="00611366" w:rsidRDefault="00A35115">
      <w:pPr>
        <w:widowControl w:val="0"/>
        <w:ind w:firstLine="709"/>
        <w:jc w:val="both"/>
        <w:rPr>
          <w:color w:val="000000" w:themeColor="text1"/>
          <w:sz w:val="27"/>
        </w:rPr>
      </w:pPr>
      <w:r w:rsidRPr="00611366">
        <w:rPr>
          <w:color w:val="000000" w:themeColor="text1"/>
          <w:sz w:val="27"/>
        </w:rPr>
        <w:t>4. Настоящее постановление опубликовать в газете «Алтайская правда».</w:t>
      </w:r>
    </w:p>
    <w:p w:rsidR="00202788" w:rsidRPr="00611366" w:rsidRDefault="00202788">
      <w:pPr>
        <w:jc w:val="both"/>
        <w:rPr>
          <w:color w:val="000000" w:themeColor="text1"/>
          <w:sz w:val="27"/>
        </w:rPr>
      </w:pPr>
    </w:p>
    <w:p w:rsidR="00BA1FBC" w:rsidRPr="00611366" w:rsidRDefault="00BA1FBC">
      <w:pPr>
        <w:jc w:val="both"/>
        <w:rPr>
          <w:color w:val="000000" w:themeColor="text1"/>
          <w:sz w:val="27"/>
        </w:rPr>
      </w:pPr>
    </w:p>
    <w:p w:rsidR="00202788" w:rsidRPr="00611366" w:rsidRDefault="00202788">
      <w:pPr>
        <w:jc w:val="both"/>
        <w:rPr>
          <w:color w:val="000000" w:themeColor="text1"/>
          <w:sz w:val="27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255"/>
      </w:tblGrid>
      <w:tr w:rsidR="00202788" w:rsidRPr="00611366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02788" w:rsidRPr="00611366" w:rsidRDefault="00A35115" w:rsidP="005A1319">
            <w:pPr>
              <w:ind w:hanging="108"/>
              <w:jc w:val="both"/>
              <w:rPr>
                <w:color w:val="000000" w:themeColor="text1"/>
                <w:sz w:val="27"/>
              </w:rPr>
            </w:pPr>
            <w:r w:rsidRPr="00611366">
              <w:rPr>
                <w:color w:val="000000" w:themeColor="text1"/>
                <w:sz w:val="27"/>
              </w:rPr>
              <w:t>Председатель Алтайского краевого</w:t>
            </w:r>
          </w:p>
          <w:p w:rsidR="00202788" w:rsidRPr="00611366" w:rsidRDefault="00A35115" w:rsidP="005A1319">
            <w:pPr>
              <w:ind w:left="-108"/>
              <w:jc w:val="both"/>
              <w:rPr>
                <w:color w:val="000000" w:themeColor="text1"/>
                <w:sz w:val="27"/>
              </w:rPr>
            </w:pPr>
            <w:r w:rsidRPr="00611366">
              <w:rPr>
                <w:color w:val="000000" w:themeColor="text1"/>
                <w:sz w:val="27"/>
              </w:rPr>
              <w:t>Законодательного Собрания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788" w:rsidRPr="00611366" w:rsidRDefault="00A35115" w:rsidP="005A1319">
            <w:pPr>
              <w:ind w:right="-110"/>
              <w:jc w:val="right"/>
              <w:rPr>
                <w:color w:val="000000" w:themeColor="text1"/>
                <w:sz w:val="27"/>
              </w:rPr>
            </w:pPr>
            <w:r w:rsidRPr="00611366">
              <w:rPr>
                <w:color w:val="000000" w:themeColor="text1"/>
                <w:sz w:val="27"/>
              </w:rPr>
              <w:t>А.А. Романенко</w:t>
            </w:r>
          </w:p>
        </w:tc>
      </w:tr>
    </w:tbl>
    <w:p w:rsidR="00202788" w:rsidRPr="00611366" w:rsidRDefault="00202788">
      <w:pPr>
        <w:ind w:firstLine="708"/>
        <w:jc w:val="both"/>
        <w:rPr>
          <w:i/>
          <w:color w:val="000000" w:themeColor="text1"/>
          <w:sz w:val="27"/>
        </w:rPr>
      </w:pPr>
    </w:p>
    <w:p w:rsidR="00202788" w:rsidRPr="00611366" w:rsidRDefault="00202788">
      <w:pPr>
        <w:ind w:firstLine="708"/>
        <w:jc w:val="both"/>
        <w:rPr>
          <w:i/>
          <w:color w:val="000000" w:themeColor="text1"/>
          <w:sz w:val="27"/>
        </w:rPr>
      </w:pPr>
    </w:p>
    <w:p w:rsidR="00202788" w:rsidRPr="00611366" w:rsidRDefault="00202788">
      <w:pPr>
        <w:ind w:firstLine="708"/>
        <w:jc w:val="both"/>
        <w:rPr>
          <w:i/>
          <w:color w:val="000000" w:themeColor="text1"/>
          <w:sz w:val="27"/>
        </w:rPr>
      </w:pPr>
    </w:p>
    <w:p w:rsidR="00202788" w:rsidRPr="00611366" w:rsidRDefault="00202788">
      <w:pPr>
        <w:ind w:firstLine="708"/>
        <w:jc w:val="both"/>
        <w:rPr>
          <w:i/>
          <w:color w:val="000000" w:themeColor="text1"/>
          <w:sz w:val="27"/>
        </w:rPr>
      </w:pPr>
    </w:p>
    <w:p w:rsidR="00202788" w:rsidRPr="00611366" w:rsidRDefault="00202788">
      <w:pPr>
        <w:ind w:firstLine="708"/>
        <w:jc w:val="both"/>
        <w:rPr>
          <w:i/>
          <w:color w:val="000000" w:themeColor="text1"/>
          <w:sz w:val="27"/>
        </w:rPr>
      </w:pPr>
    </w:p>
    <w:p w:rsidR="00202788" w:rsidRPr="00611366" w:rsidRDefault="00202788">
      <w:pPr>
        <w:spacing w:after="160" w:line="264" w:lineRule="auto"/>
        <w:rPr>
          <w:i/>
          <w:color w:val="000000" w:themeColor="text1"/>
          <w:sz w:val="27"/>
        </w:rPr>
      </w:pPr>
    </w:p>
    <w:sectPr w:rsidR="00202788" w:rsidRPr="00611366">
      <w:headerReference w:type="default" r:id="rId6"/>
      <w:headerReference w:type="first" r:id="rId7"/>
      <w:pgSz w:w="11906" w:h="16838"/>
      <w:pgMar w:top="1134" w:right="709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15" w:rsidRDefault="00A35115">
      <w:r>
        <w:separator/>
      </w:r>
    </w:p>
  </w:endnote>
  <w:endnote w:type="continuationSeparator" w:id="0">
    <w:p w:rsidR="00A35115" w:rsidRDefault="00A3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15" w:rsidRDefault="00A35115">
      <w:r>
        <w:separator/>
      </w:r>
    </w:p>
  </w:footnote>
  <w:footnote w:type="continuationSeparator" w:id="0">
    <w:p w:rsidR="00A35115" w:rsidRDefault="00A3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88" w:rsidRDefault="00A3511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72335">
      <w:rPr>
        <w:noProof/>
      </w:rPr>
      <w:t>6</w:t>
    </w:r>
    <w:r>
      <w:fldChar w:fldCharType="end"/>
    </w:r>
  </w:p>
  <w:p w:rsidR="00202788" w:rsidRDefault="00202788">
    <w:pPr>
      <w:pStyle w:val="a5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88" w:rsidRDefault="00A35115">
    <w:pPr>
      <w:spacing w:line="480" w:lineRule="auto"/>
      <w:jc w:val="center"/>
      <w:rPr>
        <w:sz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2788" w:rsidRDefault="00A35115">
    <w:pPr>
      <w:spacing w:line="480" w:lineRule="auto"/>
      <w:jc w:val="center"/>
      <w:rPr>
        <w:b/>
        <w:sz w:val="26"/>
      </w:rPr>
    </w:pPr>
    <w:r>
      <w:rPr>
        <w:b/>
        <w:sz w:val="26"/>
      </w:rPr>
      <w:t>АЛТАЙСКОЕ КРАЕВОЕ ЗАКОНОДАТЕЛЬНОЕ СОБРАНИЕ</w:t>
    </w:r>
  </w:p>
  <w:p w:rsidR="00202788" w:rsidRDefault="00A35115">
    <w:pPr>
      <w:spacing w:line="480" w:lineRule="auto"/>
      <w:jc w:val="center"/>
      <w:rPr>
        <w:b/>
        <w:spacing w:val="80"/>
        <w:sz w:val="36"/>
      </w:rPr>
    </w:pPr>
    <w:r>
      <w:rPr>
        <w:b/>
        <w:spacing w:val="80"/>
        <w:sz w:val="36"/>
      </w:rPr>
      <w:t>ПОСТАНОВЛЕНИЕ</w:t>
    </w:r>
  </w:p>
  <w:tbl>
    <w:tblPr>
      <w:tblStyle w:val="afe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02788">
      <w:tc>
        <w:tcPr>
          <w:tcW w:w="2551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202788" w:rsidRDefault="00202788"/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202788" w:rsidRDefault="00202788">
          <w:pPr>
            <w:jc w:val="center"/>
            <w:rPr>
              <w:sz w:val="24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</w:tcPr>
        <w:p w:rsidR="00202788" w:rsidRDefault="00A35115">
          <w:pPr>
            <w:rPr>
              <w:sz w:val="24"/>
            </w:rPr>
          </w:pPr>
          <w:r>
            <w:rPr>
              <w:sz w:val="24"/>
            </w:rPr>
            <w:t>№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202788" w:rsidRDefault="00202788"/>
      </w:tc>
    </w:tr>
  </w:tbl>
  <w:p w:rsidR="00202788" w:rsidRDefault="00A35115">
    <w:pPr>
      <w:jc w:val="center"/>
      <w:rPr>
        <w:sz w:val="24"/>
      </w:rPr>
    </w:pPr>
    <w:r>
      <w:rPr>
        <w:sz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88"/>
    <w:rsid w:val="00202788"/>
    <w:rsid w:val="00293DD9"/>
    <w:rsid w:val="005A1319"/>
    <w:rsid w:val="00611366"/>
    <w:rsid w:val="008114FE"/>
    <w:rsid w:val="00872335"/>
    <w:rsid w:val="00997AF3"/>
    <w:rsid w:val="00A35115"/>
    <w:rsid w:val="00B55024"/>
    <w:rsid w:val="00B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C7D3-FEC1-464A-9180-2C022CD8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22">
    <w:name w:val="Основной текст с отступом 22"/>
    <w:basedOn w:val="a"/>
    <w:link w:val="220"/>
    <w:pPr>
      <w:ind w:firstLine="567"/>
      <w:jc w:val="both"/>
    </w:pPr>
    <w:rPr>
      <w:rFonts w:ascii="Arial" w:hAnsi="Arial"/>
    </w:rPr>
  </w:style>
  <w:style w:type="character" w:customStyle="1" w:styleId="220">
    <w:name w:val="Основной текст с отступом 22"/>
    <w:basedOn w:val="1"/>
    <w:link w:val="22"/>
    <w:rPr>
      <w:rFonts w:ascii="Arial" w:hAnsi="Arial"/>
      <w:sz w:val="28"/>
    </w:rPr>
  </w:style>
  <w:style w:type="paragraph" w:styleId="21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1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nsolas" w:hAnsi="Consolas"/>
      <w:sz w:val="21"/>
    </w:rPr>
  </w:style>
  <w:style w:type="character" w:customStyle="1" w:styleId="a4">
    <w:name w:val="Текст Знак"/>
    <w:basedOn w:val="1"/>
    <w:link w:val="a3"/>
    <w:rPr>
      <w:rFonts w:ascii="Consolas" w:hAnsi="Consolas"/>
      <w:sz w:val="21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24">
    <w:name w:val="Основной текст (2)"/>
    <w:basedOn w:val="a"/>
    <w:link w:val="25"/>
    <w:pPr>
      <w:widowControl w:val="0"/>
      <w:spacing w:after="240" w:line="319" w:lineRule="exact"/>
      <w:jc w:val="center"/>
    </w:pPr>
  </w:style>
  <w:style w:type="character" w:customStyle="1" w:styleId="25">
    <w:name w:val="Основной текст (2)"/>
    <w:basedOn w:val="1"/>
    <w:link w:val="24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13">
    <w:name w:val="Замещающий текст1"/>
    <w:basedOn w:val="12"/>
    <w:link w:val="a7"/>
    <w:rPr>
      <w:color w:val="808080"/>
    </w:rPr>
  </w:style>
  <w:style w:type="character" w:styleId="a7">
    <w:name w:val="Placeholder Text"/>
    <w:basedOn w:val="a0"/>
    <w:link w:val="13"/>
    <w:rPr>
      <w:color w:val="808080"/>
    </w:rPr>
  </w:style>
  <w:style w:type="paragraph" w:customStyle="1" w:styleId="14">
    <w:name w:val="Знак примечания1"/>
    <w:basedOn w:val="12"/>
    <w:link w:val="a8"/>
    <w:rPr>
      <w:sz w:val="16"/>
    </w:rPr>
  </w:style>
  <w:style w:type="character" w:styleId="a8">
    <w:name w:val="annotation reference"/>
    <w:basedOn w:val="a0"/>
    <w:link w:val="14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15">
    <w:name w:val="Основной текст1"/>
    <w:basedOn w:val="a"/>
    <w:link w:val="16"/>
    <w:pPr>
      <w:widowControl w:val="0"/>
      <w:ind w:firstLine="400"/>
    </w:p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6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3">
    <w:name w:val="Body Text"/>
    <w:basedOn w:val="a"/>
    <w:link w:val="1b"/>
    <w:pPr>
      <w:widowControl w:val="0"/>
      <w:ind w:firstLine="400"/>
    </w:pPr>
    <w:rPr>
      <w:sz w:val="26"/>
    </w:rPr>
  </w:style>
  <w:style w:type="character" w:customStyle="1" w:styleId="1b">
    <w:name w:val="Основной текст Знак1"/>
    <w:basedOn w:val="1"/>
    <w:link w:val="af3"/>
    <w:rPr>
      <w:rFonts w:ascii="Times New Roman" w:hAnsi="Times New Roman"/>
      <w:sz w:val="26"/>
    </w:rPr>
  </w:style>
  <w:style w:type="paragraph" w:customStyle="1" w:styleId="af4">
    <w:name w:val="Основной текст Знак"/>
    <w:basedOn w:val="12"/>
    <w:link w:val="af5"/>
    <w:rPr>
      <w:rFonts w:ascii="Times New Roman" w:hAnsi="Times New Roman"/>
      <w:sz w:val="28"/>
    </w:rPr>
  </w:style>
  <w:style w:type="character" w:customStyle="1" w:styleId="af5">
    <w:name w:val="Основной текст Знак"/>
    <w:basedOn w:val="a0"/>
    <w:link w:val="af4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customStyle="1" w:styleId="ListParagraphChar">
    <w:name w:val="List Paragraph Char"/>
    <w:link w:val="ListParagraphChar0"/>
    <w:rPr>
      <w:rFonts w:ascii="Calibri" w:hAnsi="Calibri"/>
    </w:rPr>
  </w:style>
  <w:style w:type="character" w:customStyle="1" w:styleId="ListParagraphChar0">
    <w:name w:val="List Paragraph Char"/>
    <w:link w:val="ListParagraphChar"/>
    <w:rPr>
      <w:rFonts w:ascii="Calibri" w:hAnsi="Calibri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bx-messenger-message">
    <w:name w:val="bx-messenger-message"/>
    <w:basedOn w:val="12"/>
    <w:link w:val="bx-messenger-message0"/>
  </w:style>
  <w:style w:type="character" w:customStyle="1" w:styleId="bx-messenger-message0">
    <w:name w:val="bx-messenger-message"/>
    <w:basedOn w:val="a0"/>
    <w:link w:val="bx-messenger-message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pacing w:val="80"/>
      <w:sz w:val="36"/>
    </w:rPr>
  </w:style>
  <w:style w:type="paragraph" w:styleId="afc">
    <w:name w:val="No Spacing"/>
    <w:link w:val="a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d">
    <w:name w:val="Без интервала Знак"/>
    <w:link w:val="afc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table" w:styleId="af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Николаевна Дергачева</cp:lastModifiedBy>
  <cp:revision>7</cp:revision>
  <cp:lastPrinted>2022-04-28T01:33:00Z</cp:lastPrinted>
  <dcterms:created xsi:type="dcterms:W3CDTF">2022-04-28T00:45:00Z</dcterms:created>
  <dcterms:modified xsi:type="dcterms:W3CDTF">2022-04-28T01:34:00Z</dcterms:modified>
</cp:coreProperties>
</file>