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«Об административно-территориальном устройстве Алтайского края»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>О внесении изменений в закон Алтайского края «Об административно-территориальном устройстве Алтайского края»</w:t>
      </w:r>
      <w:r w:rsidR="00C72E1B">
        <w:rPr>
          <w:rFonts w:eastAsia="Times New Roman" w:cs="Times New Roman"/>
          <w:szCs w:val="28"/>
          <w:lang w:eastAsia="ru-RU"/>
        </w:rPr>
        <w:t xml:space="preserve"> </w:t>
      </w:r>
      <w:bookmarkStart w:id="0" w:name="_GoBack"/>
      <w:bookmarkEnd w:id="0"/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1940C3" w:rsidTr="001940C3">
        <w:tc>
          <w:tcPr>
            <w:tcW w:w="4785" w:type="dxa"/>
          </w:tcPr>
          <w:p w:rsidR="001940C3" w:rsidRDefault="001940C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А.А. Васильев</w:t>
            </w:r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034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2E1B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Елена С. Баева</cp:lastModifiedBy>
  <cp:revision>2</cp:revision>
  <cp:lastPrinted>2013-10-29T05:04:00Z</cp:lastPrinted>
  <dcterms:created xsi:type="dcterms:W3CDTF">2017-11-08T11:42:00Z</dcterms:created>
  <dcterms:modified xsi:type="dcterms:W3CDTF">2017-11-08T11:42:00Z</dcterms:modified>
</cp:coreProperties>
</file>