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E848BA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8340AC" w:rsidRDefault="00376EC0" w:rsidP="006D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№ 871829-7 «О внесении изменений в статьи 15.25 и 23.1 Кодекса Российской Федерации об административных правонарушениях» (в части административной ответственности за неисполнение обязанности по репатриации валюты)</w:t>
            </w:r>
          </w:p>
        </w:tc>
        <w:tc>
          <w:tcPr>
            <w:tcW w:w="5811" w:type="dxa"/>
          </w:tcPr>
          <w:p w:rsidR="001D58BF" w:rsidRPr="008340AC" w:rsidRDefault="00376EC0" w:rsidP="006D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 административную ответственность за неисполнение или несвоевременное исполнение обязанности по обеспечению зачисления на счета в уполномоченных банках денежных средств в иностранной валюте или валюте Российской Федерации, причитающихся в соответствии с условиями внешнеторгового договора (контракта), договора займа с нерезидентом по однократно либо по неоднократно в течение одного года проведенным валютным операциям, если сумма указанных денежных средств превышает 100 млн. рублей и если эти действия (бездействие) не содержат уголовно наказуемого деяния</w:t>
            </w:r>
          </w:p>
        </w:tc>
        <w:tc>
          <w:tcPr>
            <w:tcW w:w="1843" w:type="dxa"/>
          </w:tcPr>
          <w:p w:rsidR="001D58BF" w:rsidRPr="00C966D0" w:rsidRDefault="00376EC0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 РФ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E848BA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E6079C" w:rsidRDefault="0027465B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№ 838592-7 «О внесении изменений в статью 13.1 Федерального закона «Об отходах производства и потребления» (в части правового регулирования обращения с отходами черных металлов)</w:t>
            </w:r>
          </w:p>
        </w:tc>
        <w:tc>
          <w:tcPr>
            <w:tcW w:w="5811" w:type="dxa"/>
          </w:tcPr>
          <w:p w:rsidR="006D1374" w:rsidRPr="008C6842" w:rsidRDefault="0027465B" w:rsidP="006D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Отсутствие полномочия субъекта Российской Федерации по утверждению перечня разрешенных для приема от физических лиц лома и отходов черных металлов способствует созданию условий для совершения преступлений в указанной сфере. Утверждение указанного перечня позволит органам государственной власти субъекта Российской Федерации, где проблема хищений лома и отходов черных металлов наиболее актуальна, урегулировать правоотношения в сфере оборота лома и отходов черных металлов. Каждый субъект Российской Федерации, пользуясь предоставленным Федеральным законом полномочием, установит такой перечень исходя из конкретной ситуации с учетом местной специфики и будет осуществлять контроль за соблюдением установленных требований</w:t>
            </w:r>
          </w:p>
        </w:tc>
        <w:tc>
          <w:tcPr>
            <w:tcW w:w="1843" w:type="dxa"/>
          </w:tcPr>
          <w:p w:rsidR="006D1374" w:rsidRPr="00E6079C" w:rsidRDefault="0027465B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Ивановская областная Дума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Default="00E848BA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49" w:type="dxa"/>
          </w:tcPr>
          <w:p w:rsidR="004771A3" w:rsidRPr="002D0069" w:rsidRDefault="0027465B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№ 855048-7 «О внесении изменений в статью 3 Федерального закона «О введении в действие Земельного кодекса Российской Федерации» (в части уточнения оснований предоставления земельных участков в аренду)</w:t>
            </w:r>
          </w:p>
        </w:tc>
        <w:tc>
          <w:tcPr>
            <w:tcW w:w="5811" w:type="dxa"/>
          </w:tcPr>
          <w:p w:rsidR="004771A3" w:rsidRPr="002D0069" w:rsidRDefault="0027465B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«О внесении изменений в статью 3 Федерального закона «О введении в действие Земельного кодекса Российской Федерации» разработан в целях приведения пунктов положений статьи 3 Федерального закона от 25 октября 2001 года № 137-Ф3 «О введении в действие Земельного кодекса Российской Федерации» в соответствие с нормами Земельного кодекса Российской Федерации</w:t>
            </w:r>
          </w:p>
        </w:tc>
        <w:tc>
          <w:tcPr>
            <w:tcW w:w="1843" w:type="dxa"/>
          </w:tcPr>
          <w:p w:rsidR="004771A3" w:rsidRPr="002D0069" w:rsidRDefault="0027465B" w:rsidP="002746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лены Совета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Кутепов</w:t>
            </w:r>
            <w:proofErr w:type="spellEnd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, А.П.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Майоров, О.В.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Мельниченко, М.К.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Хапсироков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27465B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E15917" w:rsidRPr="004771A3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№ 861563-7 «О внесении изменений в статьи 5 и 10 Федерального закона «О концессионных соглашениях» (в части концессионных соглашений, заключаемых в отношении объектов по производству, передаче и распределению электрической энергии)</w:t>
            </w:r>
          </w:p>
        </w:tc>
        <w:tc>
          <w:tcPr>
            <w:tcW w:w="5811" w:type="dxa"/>
          </w:tcPr>
          <w:p w:rsidR="00E15917" w:rsidRPr="002D006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Принятие проекта федерального закона будет способствовать реализации поставленной в «дорожной карте» цели уменьшения рисков концессионеров и привлечению дополнительных инвестиций в сферу электроснабжения за счет создания юридических гарантий предсказуемости и неизменности регуляторных условий для концессионера на всем протяжении срока действия концессионного соглашения</w:t>
            </w:r>
          </w:p>
        </w:tc>
        <w:tc>
          <w:tcPr>
            <w:tcW w:w="1843" w:type="dxa"/>
          </w:tcPr>
          <w:p w:rsidR="00E15917" w:rsidRPr="004771A3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E15917" w:rsidRPr="00E6079C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№ 861571-7 «О внесении изменений в статью 16-1 Закона Российской Федерации «О защите прав потребителей» (о расширении круга субъектов предпринимательства, обязанных обеспечить потребителю оплату товаров (работ, услуг) с использованием национальных платежных инструментов в рамках национальной системы платежных карт)</w:t>
            </w:r>
          </w:p>
        </w:tc>
        <w:tc>
          <w:tcPr>
            <w:tcW w:w="5811" w:type="dxa"/>
          </w:tcPr>
          <w:p w:rsidR="00E15917" w:rsidRPr="008C6842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расширить круг субъектов предпринимательской деятельности, обязанных обеспечить для потребителей возможность осуществления расчетов в безналичном порядке с использованием национальных платежных инструментов в рамках национальной системы платежных карт, либо наличными денежными средствами по выбору потребителя путем распространения указанных требований на владельца </w:t>
            </w:r>
            <w:proofErr w:type="spellStart"/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агрегатора</w:t>
            </w:r>
            <w:proofErr w:type="spellEnd"/>
            <w:r w:rsidRPr="00E15917">
              <w:rPr>
                <w:rFonts w:ascii="Times New Roman" w:hAnsi="Times New Roman" w:cs="Times New Roman"/>
                <w:sz w:val="24"/>
                <w:szCs w:val="24"/>
              </w:rPr>
              <w:t xml:space="preserve"> и на продавцов, (исполнителей), осуществляющих продажу товаров и оказание услуг дистанционным способом</w:t>
            </w:r>
          </w:p>
        </w:tc>
        <w:tc>
          <w:tcPr>
            <w:tcW w:w="1843" w:type="dxa"/>
          </w:tcPr>
          <w:p w:rsidR="00E15917" w:rsidRPr="004771A3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E15917" w:rsidRPr="004771A3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 xml:space="preserve">№ 864169-7 «О внесении изменений в отдельные законодательные акты Российской Федерации в целях совершенствования правового </w:t>
            </w:r>
            <w:r w:rsidRPr="00E1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деятельности экскурсоводов (гидов), гидов-переводчиков и инструкторов-проводников»</w:t>
            </w:r>
          </w:p>
        </w:tc>
        <w:tc>
          <w:tcPr>
            <w:tcW w:w="5811" w:type="dxa"/>
          </w:tcPr>
          <w:p w:rsidR="00E15917" w:rsidRPr="002D006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Предлагаемые законопроектом изменения направлены на: повышение защиты интересов потребителей туристских услуг; упорядочение деятельности экскурсоводов (гидов), гидов-переводчиков, инструкторов-проводников; обеспечение безопасности туристов при </w:t>
            </w:r>
            <w:r w:rsidRPr="00E1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прохождении туристских маршрутов повышенной опасности; создание прозрачного и контролируемого рынка оказания экскурсионных услуг; формирование позитивного имиджа Российской Федерации как страны, благоприятной и безопасной для туризма и отдыха. Законопроект устанавливает основные критерии аттестации экскурсоводов (гидов), гидов-переводчиков и инструкторов-проводников, а также содержит требования к образованию, стажу работы и наличию профессиональных знаний и навыков</w:t>
            </w:r>
          </w:p>
        </w:tc>
        <w:tc>
          <w:tcPr>
            <w:tcW w:w="1843" w:type="dxa"/>
          </w:tcPr>
          <w:p w:rsidR="00E15917" w:rsidRPr="004771A3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E15917" w:rsidRPr="004771A3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№ 864193-7 «О внесении изменений в Федеральный закон «Об особых экономических зонах в Российской Федерации» (в части предоставления возможности одновременного осуществления промышленно-производственной деятельности и деятельности по логистике)</w:t>
            </w:r>
          </w:p>
        </w:tc>
        <w:tc>
          <w:tcPr>
            <w:tcW w:w="5811" w:type="dxa"/>
          </w:tcPr>
          <w:p w:rsidR="00E15917" w:rsidRPr="002D006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С целью оптимизации процедуры получения статуса резидента ОЭЗ, законопроектом предлагается разрешить ведение одновременно двух видов деятельности в ОЭЗ в рамках одного юридического лица. Принятие данного законопроекта позволит значительно облегчить ведение промышленно-производственной деятельности, поспособствует привлечению новых резидентов и развитию действующих в ОЭЗ производств</w:t>
            </w:r>
          </w:p>
        </w:tc>
        <w:tc>
          <w:tcPr>
            <w:tcW w:w="1843" w:type="dxa"/>
          </w:tcPr>
          <w:p w:rsidR="00E15917" w:rsidRPr="004771A3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Бокк</w:t>
            </w:r>
            <w:proofErr w:type="spellEnd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Когогина</w:t>
            </w:r>
            <w:proofErr w:type="spellEnd"/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, Д.Б.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Кравченко, Е.В.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Панина,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Чижов, И.М.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Гусева и другие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15917">
        <w:trPr>
          <w:trHeight w:val="964"/>
        </w:trPr>
        <w:tc>
          <w:tcPr>
            <w:tcW w:w="674" w:type="dxa"/>
            <w:tcBorders>
              <w:bottom w:val="single" w:sz="4" w:space="0" w:color="auto"/>
            </w:tcBorders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№ 875219-7 «О внесении изменений в статью 19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уточнения оснований для отказа в выдаче лицензии на производство и оборот этилового спирта, алкогольной и спиртосодержащей продукции)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Принятие законопроекта позволит предотвратить случаи отказа в выдаче лицензии в связи с неполнотой или недостоверностью информации о наличии задолженности по налогам, сборам, пеням и штрафам, числящейся за налогоплательщиком и содержащейся в государственных информационных системах, что снизит нагрузку на судебные органы по рассмотрению дел об обжаловании соответствующих решений лицензирующих органов об отказе в выдаче лицензии, уменьшит финансовые риски и издержки хозяйствующих субъектов – соискателей лицензий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15917" w:rsidRPr="004221FF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917">
              <w:rPr>
                <w:rFonts w:ascii="Times New Roman" w:hAnsi="Times New Roman"/>
                <w:sz w:val="24"/>
                <w:szCs w:val="24"/>
                <w:lang w:eastAsia="ru-RU"/>
              </w:rPr>
              <w:t>Костромская областная Дума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15917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№ 875581-7 «О внесении изменения в статью 24-1 Федерального закона «Об отходах производства и потребления» (в части уплаты утилизационного сбора)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внесение изменения в пункт 6 статьи 241 Федерального закона «Об отходах производства и потребления» в целях установления правовых механизмов для отмены взимания утилизационного сбора при помещении колесных транспортных средств (шасси), самоходных машин и прицепов к ним под таможенную процедуру временного ввоза (допуска)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Pr="004544CE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ФР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15917">
        <w:trPr>
          <w:trHeight w:val="451"/>
        </w:trPr>
        <w:tc>
          <w:tcPr>
            <w:tcW w:w="674" w:type="dxa"/>
            <w:tcBorders>
              <w:top w:val="single" w:sz="4" w:space="0" w:color="auto"/>
            </w:tcBorders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№ 875582-7 «О внесении изменений в статьи 29 и 40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(о внесении платы за проезд по платным автомобильным дорогам)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E15917" w:rsidRPr="004221F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17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разработан в целях развития транспортной инфраструктуры, создания и функционирования системы </w:t>
            </w:r>
            <w:proofErr w:type="spellStart"/>
            <w:r w:rsidRPr="00E15917">
              <w:rPr>
                <w:rFonts w:ascii="Times New Roman" w:hAnsi="Times New Roman" w:cs="Times New Roman"/>
                <w:sz w:val="24"/>
                <w:szCs w:val="24"/>
              </w:rPr>
              <w:t>безбарьерных</w:t>
            </w:r>
            <w:proofErr w:type="spellEnd"/>
            <w:r w:rsidRPr="00E15917">
              <w:rPr>
                <w:rFonts w:ascii="Times New Roman" w:hAnsi="Times New Roman" w:cs="Times New Roman"/>
                <w:sz w:val="24"/>
                <w:szCs w:val="24"/>
              </w:rPr>
              <w:t xml:space="preserve"> платных автомобильных дорог в Российской Федерации. При разработке проекта федерального закона учитывался имеющийся опыт администрирования платных автомобильных дорог, платных участков автомобильных дорог, в том числе опыт администрирования взыскания платы в счет возмещения вреда, причиняемого автомобильным дорогам общего пользования федерального значения транспортными средствами, имеющими разрешенную максимальную массу свыше 12 тонн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5917" w:rsidRPr="004544CE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ФР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F523C3">
        <w:tc>
          <w:tcPr>
            <w:tcW w:w="14879" w:type="dxa"/>
            <w:gridSpan w:val="6"/>
          </w:tcPr>
          <w:p w:rsidR="00E15917" w:rsidRPr="00661736" w:rsidRDefault="00E15917" w:rsidP="00E1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E15917" w:rsidRPr="00BF6EC4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№ 842643-7 «О внесении изменений в Федеральный закон «Об образовании в Российской Федерации» в части установления квалификационных разрядов, классов, категорий по соответствующим профессиям рабочих, должностям служащих»</w:t>
            </w:r>
          </w:p>
        </w:tc>
        <w:tc>
          <w:tcPr>
            <w:tcW w:w="5811" w:type="dxa"/>
          </w:tcPr>
          <w:p w:rsidR="00E15917" w:rsidRPr="00F50732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«Об образовании в Российской Федерации» установлено, что свидетельством о профессии рабочего, должности служащего подтверждается присвоение разряда или класса, категории по результатам профессионального обучения. При этом в настоящее время более 70 профессий рабочих не требуют установления разрядов, около 8 должностей служащих не требуют установления классов или категорий в соответствии с квалификационными требованиями. В связи с этим проектом закона предлагается установить, что документ о квалификации подтверждает получение квалификации по профессии рабочего, должности служащего и присвоение при наличии разряда, класса или категории по результатам профессионального обучения</w:t>
            </w:r>
          </w:p>
        </w:tc>
        <w:tc>
          <w:tcPr>
            <w:tcW w:w="1843" w:type="dxa"/>
          </w:tcPr>
          <w:p w:rsidR="00E15917" w:rsidRPr="004544CE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ФР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9" w:type="dxa"/>
          </w:tcPr>
          <w:p w:rsidR="00E15917" w:rsidRPr="00BF6EC4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№ 851409-7 «О внесении изменения в статью 17 Федерального закона «О социальной защите инвалидов в Российской Федерации» (в части дополнения условий получения инвалидами и семьями, имеющими детей-инвалидов, проживающими в домах, не имеющих центрального отопления, компенсации расходов за приобретенное топливо и транспортные услуги по его доставке)</w:t>
            </w:r>
          </w:p>
        </w:tc>
        <w:tc>
          <w:tcPr>
            <w:tcW w:w="5811" w:type="dxa"/>
          </w:tcPr>
          <w:p w:rsidR="00E15917" w:rsidRPr="00BF6EC4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 xml:space="preserve">В отдаленных малочисленных пунктах сохраняется </w:t>
            </w:r>
            <w:proofErr w:type="gramStart"/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proofErr w:type="gramEnd"/>
            <w:r w:rsidRPr="00376EC0">
              <w:rPr>
                <w:rFonts w:ascii="Times New Roman" w:hAnsi="Times New Roman" w:cs="Times New Roman"/>
                <w:sz w:val="24"/>
                <w:szCs w:val="24"/>
              </w:rPr>
              <w:t xml:space="preserve"> когда лица, имеющие право на компенсацию, испытывают трудности, связанные с получением документов для подтверждения факта оплаты приобретенного топлива и транспортных услуг по его доставке ввиду отсутствия единого поставщика услуг. Проектом предлагается дополнить Федеральный закон нормой, согласно которой при отсутствии документов, подтверждающих расходы на приобретенное топливо и транспортные услуги по его доставке, сумма компенсации рассчитывается исходя из размера топлива, включенной в региональный стандарт стоимости жилищно-коммунальных услуг, устанавливаемый субъектом Российской Федерации для жилых домов с печным отоплением</w:t>
            </w:r>
          </w:p>
        </w:tc>
        <w:tc>
          <w:tcPr>
            <w:tcW w:w="1843" w:type="dxa"/>
          </w:tcPr>
          <w:p w:rsidR="00E15917" w:rsidRPr="00F50732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6EC0">
              <w:rPr>
                <w:rFonts w:ascii="Times New Roman" w:hAnsi="Times New Roman"/>
                <w:sz w:val="24"/>
                <w:szCs w:val="24"/>
                <w:lang w:eastAsia="ru-RU"/>
              </w:rPr>
              <w:t>Сахалинская областная Дума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</w:p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поддерживает законопроект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E15917" w:rsidRPr="007D6443" w:rsidTr="00716AB1">
        <w:tc>
          <w:tcPr>
            <w:tcW w:w="14879" w:type="dxa"/>
            <w:gridSpan w:val="6"/>
          </w:tcPr>
          <w:p w:rsidR="00E15917" w:rsidRPr="002E5F2F" w:rsidRDefault="00E15917" w:rsidP="00E1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E15917" w:rsidRPr="007D6443" w:rsidTr="00E75D72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E15917" w:rsidRPr="00704ACB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№ 863705-7 «О внесении изменения в статью 65 Водного кодекса Российской Федерации (в отношении движения и стоянки легковых транспортных средств, мотоциклов, мопедов в границах водоохранных зон)»</w:t>
            </w:r>
          </w:p>
        </w:tc>
        <w:tc>
          <w:tcPr>
            <w:tcW w:w="5811" w:type="dxa"/>
          </w:tcPr>
          <w:p w:rsidR="00E15917" w:rsidRPr="00376EC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В настоящее время действующим законодательством запрещается движение и стоянка транспортных средств (кроме специальных транспортных средств) в границах водоохранных зон, кроме движения по дорогам и стоянки на дорогах и в специально оборудованных местах, имеющих твердое покрытие. Ширина водоохраной зоны для крупных водных объектов сегодня составляет 200 метров. Вместе с тем в границах водоохранных зон большинства водоемов и водотоков дороги и оборудованные стоянки с твердым покрытием отсутствуют, что делает данную норму водного законодательства фактически невыполнимой.</w:t>
            </w:r>
          </w:p>
          <w:p w:rsidR="00E15917" w:rsidRPr="00704ACB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C0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разрешить движение и стоянку легковых транспортных средств, мотоциклов, мопедов в целях отдыха граждан, туризма, охоты, рыболовства, занятий гражданами физкультурой и спортом на расстоянии не менее 50 метров от береговой линии (границы водного объекта) рек, ручьев, каналов, озер (за исключением озера Байкал), водохранилищ или от линии максимального прилива морей</w:t>
            </w:r>
          </w:p>
        </w:tc>
        <w:tc>
          <w:tcPr>
            <w:tcW w:w="1843" w:type="dxa"/>
          </w:tcPr>
          <w:p w:rsidR="00E15917" w:rsidRPr="00704ACB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6EC0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Оренбургской области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356865">
        <w:tc>
          <w:tcPr>
            <w:tcW w:w="14879" w:type="dxa"/>
            <w:gridSpan w:val="6"/>
          </w:tcPr>
          <w:p w:rsidR="00E15917" w:rsidRPr="003B61F2" w:rsidRDefault="00E15917" w:rsidP="00E1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Комитет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E15917" w:rsidRPr="007F7E4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№ 875580-7 «О внесении изменений в главу 26</w:t>
            </w:r>
            <w:r w:rsidRPr="009568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в части реализации отдельных положений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5811" w:type="dxa"/>
          </w:tcPr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внести изменения в главу 262 «Упрощенная система налогообложения» Налогового кодекса Российской Федерации (далее - Кодекс), предусматривающие переходный период для налогоплательщиков налога, уплачиваемого в связи с применением упрощенной системы налогообложения (далее - налогоплательщик), у которых по итогам отчетного (налогового) периода доходы превысили 150 млн. рублей, но не более чем на 50 млн. рублей, и (или) средняя численность работников превысила 100, но не более чем на 30 человек. </w:t>
            </w:r>
          </w:p>
          <w:p w:rsidR="00E15917" w:rsidRPr="007F7E4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Данный переходный налоговый режим позволит налогоплательщикам, у которых доходы и средняя численность работников превысили установленные ограничения, продолжать применять упрощенную систему налогообложения и не восстанавливать налоговый учет и налоговые обязательства с начала отчетного (налогового) периода, в котором произошло превышение</w:t>
            </w:r>
          </w:p>
        </w:tc>
        <w:tc>
          <w:tcPr>
            <w:tcW w:w="1843" w:type="dxa"/>
          </w:tcPr>
          <w:p w:rsidR="00E15917" w:rsidRPr="007F7E49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E15917" w:rsidRPr="001A17B1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E15917" w:rsidRPr="001D5A3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№ 875583-7 «О внесении изменений в главу 26</w:t>
            </w:r>
            <w:r w:rsidRPr="009568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Федерации» (в части освобождения от обязанности представления налоговой декларации для налогоплательщиков, применяющих упрощенную систему налогообложения и использующих контрольно-кассовую технику)</w:t>
            </w:r>
          </w:p>
        </w:tc>
        <w:tc>
          <w:tcPr>
            <w:tcW w:w="5811" w:type="dxa"/>
          </w:tcPr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Законопроектом предусматривается предоставление права налогоплательщикам, применяющим упрощенную систему налогообложения с объектом налогообложения в виде доходов, перейти на исчисление налога (авансовых платежей по налогу) налоговым органом путем направления в налоговый орган уведомления о таком переходе через личный кабинет налогоплательщика в электронной форме.</w:t>
            </w:r>
          </w:p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Также для целей исчисления налога указанные лица должны осуществлять расчеты с покупателями товаров (работ, услуг) с применением контрольно-кассовой техники. При этом налоговая декларация налогоплательщиками не представляется, а сумма налога, подлежащая к уплате в бюджет, будет исчисляться налоговым органом на основании поступивших в </w:t>
            </w:r>
            <w:r w:rsidRPr="00956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налоговый орган сведений об осуществленных расчетах, зафиксированных контрольно-кассовой техникой.</w:t>
            </w:r>
          </w:p>
          <w:p w:rsidR="00E15917" w:rsidRPr="001D5A3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По итогам налогового (отчетного) периода налогоплательщику через личный кабинет налогоплательщика направляется уведомление о сумме налога (авансовых платежей по налогу), подлежащего уплате</w:t>
            </w:r>
          </w:p>
        </w:tc>
        <w:tc>
          <w:tcPr>
            <w:tcW w:w="1843" w:type="dxa"/>
          </w:tcPr>
          <w:p w:rsidR="00E15917" w:rsidRPr="001D5A3F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1B020D">
        <w:tc>
          <w:tcPr>
            <w:tcW w:w="14879" w:type="dxa"/>
            <w:gridSpan w:val="6"/>
          </w:tcPr>
          <w:p w:rsidR="00E15917" w:rsidRPr="00964F75" w:rsidRDefault="00E15917" w:rsidP="00E1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здравоохранению и науке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E15917" w:rsidRPr="006D464D" w:rsidRDefault="00E15917" w:rsidP="00E15917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56810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№ 848015-7 «О внесении изменения в статью 19 Федерального закона «Об охране здоровья граждан от воздействия окружающего табачного дыма и последствий потребления табака» (в части установления запрета торговли табаком, а также любыми </w:t>
            </w:r>
            <w:proofErr w:type="spellStart"/>
            <w:r w:rsidRPr="00956810">
              <w:rPr>
                <w:b w:val="0"/>
                <w:bCs w:val="0"/>
                <w:color w:val="000000" w:themeColor="text1"/>
                <w:sz w:val="24"/>
                <w:szCs w:val="24"/>
              </w:rPr>
              <w:t>никотиносодержащими</w:t>
            </w:r>
            <w:proofErr w:type="spellEnd"/>
            <w:r w:rsidRPr="00956810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смесями)</w:t>
            </w:r>
          </w:p>
        </w:tc>
        <w:tc>
          <w:tcPr>
            <w:tcW w:w="5811" w:type="dxa"/>
          </w:tcPr>
          <w:p w:rsidR="00E15917" w:rsidRPr="00956810" w:rsidRDefault="00E15917" w:rsidP="00E159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подготовлен в связи с необходимостью устранения пробела в статье 19 данного Федерального закона, касающегося запрета продажи жевательных и сосательных 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никотиносодержащих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смесей без содержания табака и отражающих в полной мере направленность закона на защиту здоровья граждан от губительных последствий воздействия 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никотиносодержащих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смесей. В настоящее время данной статьей введен запрет на оптовую и розничную торговлю табака сосательного (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15917" w:rsidRPr="001D5A3F" w:rsidRDefault="00E15917" w:rsidP="00E159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Никотиносодержащие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смеси, в силу своей формальной легальности, стали популярны в подростковой и молодежной среде, что, с учетом механизмов действия на человека, особенно небольшого веса (подростки), приводит не только к стремительному привыканию, но и к летальному исходу</w:t>
            </w:r>
          </w:p>
        </w:tc>
        <w:tc>
          <w:tcPr>
            <w:tcW w:w="1843" w:type="dxa"/>
          </w:tcPr>
          <w:p w:rsidR="00E15917" w:rsidRPr="001D5A3F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Алимова,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Ганзя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Д.И.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E15917" w:rsidRPr="00C441D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№ 850099-7 «О внесении изменения в статью 19 Федерального закона «Об охране здоровья граждан от воздействия окружающего табачного дыма и последствий потребления табака» в части установления запрета торговли сосательными и жевательными 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никотиносодержащими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смесями»</w:t>
            </w:r>
          </w:p>
        </w:tc>
        <w:tc>
          <w:tcPr>
            <w:tcW w:w="5811" w:type="dxa"/>
          </w:tcPr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подготовлен в связи с необходимостью устранения пробела в статье 19 данного Федерального закона, касающегося запрета продажи жевательных и сосательных 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никотиносодержащих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 смесей без содержания табака. В настоящее время данной статьей введен запрет на оптовую и розничную торговлю табака сосательного (</w:t>
            </w:r>
            <w:proofErr w:type="spellStart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15917" w:rsidRPr="004B030C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Данные смеси в силу своей доступности, дешевизны и легальности стали популярны в подростковой среде, что приводит к «привыканию» к употреблению никотина и появлению различных сопутствующих заболеваний. Концентрация никотина в данных смесях в среднем составляет 4060 мг, бывает и до 100 мг. В то </w:t>
            </w:r>
            <w:r w:rsidRPr="00956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как в обычной сигарете его содержание составляет всего до 1,5 мг. Следствием употребления этих смесей являются заболевания верхних дыхательных путей, желудка, пищевода и полости рта. При этом увеличивается риск сердечно-сосудистых, онкологических и респираторных заболеваний. Так как доза потребляемого никотина при рассасывании вещества очень велика, то возможны и нейротоксические нарушения в организме, что в итоге может привести к расстройством сознания</w:t>
            </w:r>
          </w:p>
        </w:tc>
        <w:tc>
          <w:tcPr>
            <w:tcW w:w="1843" w:type="dxa"/>
          </w:tcPr>
          <w:p w:rsidR="00E15917" w:rsidRPr="00C441D9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Бариев,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Чижов, Д.С.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Скриванов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Сапко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Гетта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А.Б.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Таймазов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А.П.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Марков,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Шеремет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Смирнов,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49" w:type="dxa"/>
          </w:tcPr>
          <w:p w:rsidR="00E15917" w:rsidRPr="001D5A3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№ 863942-7 «О внесении изменения в статью 12 Федерального закона «Об охране здоровья граждан от воздействия окружающего табачного дыма и последствий потребления табака» (в части установления запрета курения табака в помещениях, составляющих общее имущество собственников комнат в коммунальных квартирах)</w:t>
            </w:r>
          </w:p>
        </w:tc>
        <w:tc>
          <w:tcPr>
            <w:tcW w:w="5811" w:type="dxa"/>
          </w:tcPr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разработан с целью охраны здоровья граждан от воздействия окружающего табачного дыма и защиты интересов некурящих в жилом секторе. </w:t>
            </w:r>
          </w:p>
          <w:p w:rsidR="00E15917" w:rsidRPr="00956810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устранение законодательного пробела в части защиты прав некурящих граждан, в том числе детей, женщин, стариков, проживающих в коммунальных квартирах и вынужденных благодаря курящим соседям фактически круглосуточно вдыхать табачный дым, что наносит непоправимый вред их здоровью. </w:t>
            </w:r>
          </w:p>
          <w:p w:rsidR="00E15917" w:rsidRPr="001D5A3F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810">
              <w:rPr>
                <w:rFonts w:ascii="Times New Roman" w:hAnsi="Times New Roman" w:cs="Times New Roman"/>
                <w:sz w:val="24"/>
                <w:szCs w:val="24"/>
              </w:rPr>
              <w:t>Так, в действующей редакции статьи 12 запрет курения установлен в лифтах и помещениях общего пользования многоквартирных домов, к которым относятся помещения, предназначенные для обслуживания более одного помещения в данном доме. В то же время ввиду специфики коммунальных квартир, они в своем составе также имеют помещения, предназначенные для обслуживания более одной комнаты данной квартиры – кухня, коридор, санитарные помещения и т.д. В соответствии с положениями Жилищного кодекса РФ такие помещения составляют общее имущество собственников комнат в коммунальной квартире. Таким образом, отсутствие в действующей редакции федерального закона положения о запрете курения в по</w:t>
            </w:r>
            <w:r w:rsidRPr="00956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мещениях, составляющих общее имущество собственников комнат в коммунальных квартирах, является нарушением прав некурящих жильцов коммунальных квартир на воздух, свободный от табачного дыма</w:t>
            </w:r>
          </w:p>
        </w:tc>
        <w:tc>
          <w:tcPr>
            <w:tcW w:w="1843" w:type="dxa"/>
          </w:tcPr>
          <w:p w:rsidR="00E15917" w:rsidRPr="001D5A3F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Н.Ф.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Герасименко, А.К.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Исаев,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Морозов, Г.А.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Карлов, И.М.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Гусева,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Шипулин, Е.В.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Бондаренко,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Митина, Б.Д.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Менделевич,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Ламейкин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Л.А.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Огуль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Гетта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Бузилов</w:t>
            </w:r>
            <w:proofErr w:type="spellEnd"/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6810">
              <w:rPr>
                <w:rFonts w:ascii="Times New Roman" w:hAnsi="Times New Roman"/>
                <w:sz w:val="24"/>
                <w:szCs w:val="24"/>
                <w:lang w:eastAsia="ru-RU"/>
              </w:rPr>
              <w:t>Чижов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другие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E15917" w:rsidRPr="007D6443" w:rsidTr="0008297A">
        <w:tc>
          <w:tcPr>
            <w:tcW w:w="14879" w:type="dxa"/>
            <w:gridSpan w:val="6"/>
          </w:tcPr>
          <w:p w:rsidR="00E15917" w:rsidRPr="003B61F2" w:rsidRDefault="00E15917" w:rsidP="00E1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местному самоуправлению</w:t>
            </w:r>
          </w:p>
        </w:tc>
      </w:tr>
      <w:tr w:rsidR="00E15917" w:rsidRPr="007D6443" w:rsidTr="00A33A9C">
        <w:tc>
          <w:tcPr>
            <w:tcW w:w="674" w:type="dxa"/>
          </w:tcPr>
          <w:p w:rsidR="00E15917" w:rsidRDefault="00E848BA" w:rsidP="00E1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3149" w:type="dxa"/>
          </w:tcPr>
          <w:p w:rsidR="00E15917" w:rsidRPr="007F7E4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№ 850132-7 «О внесении изменений в Федеральный закон «Об общих принципах организации местного самоуправления в Российской Федерации» (в части установления возможности введения и использования средств самообложения граждан на части территории населенного пункта).</w:t>
            </w:r>
          </w:p>
        </w:tc>
        <w:tc>
          <w:tcPr>
            <w:tcW w:w="5811" w:type="dxa"/>
          </w:tcPr>
          <w:p w:rsidR="00E15917" w:rsidRPr="007F7E49" w:rsidRDefault="00E15917" w:rsidP="00E1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</w:t>
            </w:r>
            <w:r w:rsidRPr="0027465B">
              <w:rPr>
                <w:rFonts w:ascii="Times New Roman" w:hAnsi="Times New Roman" w:cs="Times New Roman"/>
                <w:sz w:val="24"/>
                <w:szCs w:val="24"/>
              </w:rPr>
              <w:t>предлагается ввести возможность проведения сходов граждан по вопросам самообложения на части территории населенного пункта</w:t>
            </w:r>
          </w:p>
        </w:tc>
        <w:tc>
          <w:tcPr>
            <w:tcW w:w="1843" w:type="dxa"/>
          </w:tcPr>
          <w:p w:rsidR="00E15917" w:rsidRPr="007F7E49" w:rsidRDefault="00E15917" w:rsidP="00E159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65B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Татарстан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15917" w:rsidRDefault="00E15917" w:rsidP="00E1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005" w:rsidRDefault="00B77005" w:rsidP="002926C8">
      <w:pPr>
        <w:spacing w:after="0" w:line="240" w:lineRule="auto"/>
      </w:pPr>
      <w:r>
        <w:separator/>
      </w:r>
    </w:p>
  </w:endnote>
  <w:endnote w:type="continuationSeparator" w:id="0">
    <w:p w:rsidR="00B77005" w:rsidRDefault="00B77005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005" w:rsidRDefault="00B77005" w:rsidP="002926C8">
      <w:pPr>
        <w:spacing w:after="0" w:line="240" w:lineRule="auto"/>
      </w:pPr>
      <w:r>
        <w:separator/>
      </w:r>
    </w:p>
  </w:footnote>
  <w:footnote w:type="continuationSeparator" w:id="0">
    <w:p w:rsidR="00B77005" w:rsidRDefault="00B77005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8BA">
          <w:rPr>
            <w:noProof/>
          </w:rPr>
          <w:t>8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7465B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1997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6EC0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0DE1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D464D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56810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05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917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48BA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1CEA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2490D-8361-475E-9484-9C9A8930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4250</TotalTime>
  <Pages>9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134</cp:revision>
  <cp:lastPrinted>2016-03-11T04:22:00Z</cp:lastPrinted>
  <dcterms:created xsi:type="dcterms:W3CDTF">2015-03-11T04:16:00Z</dcterms:created>
  <dcterms:modified xsi:type="dcterms:W3CDTF">2020-01-24T03:39:00Z</dcterms:modified>
</cp:coreProperties>
</file>